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87" w:rsidRPr="003C6C89" w:rsidRDefault="00095F87" w:rsidP="00095F87">
      <w:pPr>
        <w:rPr>
          <w:rFonts w:ascii="Impact" w:hAnsi="Impact"/>
          <w:color w:val="3366FF"/>
          <w:sz w:val="96"/>
          <w:szCs w:val="96"/>
        </w:rPr>
      </w:pPr>
      <w:r>
        <w:rPr>
          <w:rFonts w:ascii="00362" w:hAnsi="00362"/>
          <w:noProof/>
          <w:color w:val="FF0000"/>
          <w:sz w:val="96"/>
          <w:szCs w:val="96"/>
        </w:rPr>
        <w:drawing>
          <wp:anchor distT="0" distB="0" distL="114300" distR="114300" simplePos="0" relativeHeight="251661312" behindDoc="0" locked="0" layoutInCell="1" allowOverlap="1">
            <wp:simplePos x="0" y="0"/>
            <wp:positionH relativeFrom="column">
              <wp:posOffset>-457200</wp:posOffset>
            </wp:positionH>
            <wp:positionV relativeFrom="paragraph">
              <wp:posOffset>56515</wp:posOffset>
            </wp:positionV>
            <wp:extent cx="1138555" cy="1127125"/>
            <wp:effectExtent l="19050" t="0" r="4445" b="0"/>
            <wp:wrapThrough wrapText="bothSides">
              <wp:wrapPolygon edited="0">
                <wp:start x="-361" y="0"/>
                <wp:lineTo x="-361" y="21174"/>
                <wp:lineTo x="21684" y="21174"/>
                <wp:lineTo x="21684" y="0"/>
                <wp:lineTo x="-361" y="0"/>
              </wp:wrapPolygon>
            </wp:wrapThrough>
            <wp:docPr id="3" name="Resim 3" descr="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
                    <pic:cNvPicPr>
                      <a:picLocks noChangeAspect="1" noChangeArrowheads="1"/>
                    </pic:cNvPicPr>
                  </pic:nvPicPr>
                  <pic:blipFill>
                    <a:blip r:embed="rId8" cstate="print"/>
                    <a:srcRect/>
                    <a:stretch>
                      <a:fillRect/>
                    </a:stretch>
                  </pic:blipFill>
                  <pic:spPr bwMode="auto">
                    <a:xfrm>
                      <a:off x="0" y="0"/>
                      <a:ext cx="1138555" cy="1127125"/>
                    </a:xfrm>
                    <a:prstGeom prst="rect">
                      <a:avLst/>
                    </a:prstGeom>
                    <a:noFill/>
                    <a:ln w="9525">
                      <a:noFill/>
                      <a:miter lim="800000"/>
                      <a:headEnd/>
                      <a:tailEnd/>
                    </a:ln>
                  </pic:spPr>
                </pic:pic>
              </a:graphicData>
            </a:graphic>
          </wp:anchor>
        </w:drawing>
      </w:r>
      <w:r>
        <w:rPr>
          <w:rFonts w:ascii="00362" w:hAnsi="00362"/>
          <w:noProof/>
          <w:color w:val="FF0000"/>
          <w:sz w:val="96"/>
          <w:szCs w:val="96"/>
        </w:rPr>
        <w:drawing>
          <wp:anchor distT="0" distB="0" distL="114300" distR="114300" simplePos="0" relativeHeight="251660288" behindDoc="0" locked="0" layoutInCell="1" allowOverlap="1">
            <wp:simplePos x="0" y="0"/>
            <wp:positionH relativeFrom="column">
              <wp:posOffset>4152900</wp:posOffset>
            </wp:positionH>
            <wp:positionV relativeFrom="paragraph">
              <wp:posOffset>0</wp:posOffset>
            </wp:positionV>
            <wp:extent cx="1099185" cy="1112520"/>
            <wp:effectExtent l="1905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99185" cy="1112520"/>
                    </a:xfrm>
                    <a:prstGeom prst="rect">
                      <a:avLst/>
                    </a:prstGeom>
                    <a:noFill/>
                    <a:ln w="9525">
                      <a:noFill/>
                      <a:miter lim="800000"/>
                      <a:headEnd/>
                      <a:tailEnd/>
                    </a:ln>
                  </pic:spPr>
                </pic:pic>
              </a:graphicData>
            </a:graphic>
          </wp:anchor>
        </w:drawing>
      </w:r>
      <w:r>
        <w:rPr>
          <w:rFonts w:ascii="Impact" w:hAnsi="Impact"/>
          <w:color w:val="FF0000"/>
          <w:sz w:val="96"/>
          <w:szCs w:val="96"/>
        </w:rPr>
        <w:t xml:space="preserve">         </w:t>
      </w:r>
      <w:r w:rsidRPr="003C6C89">
        <w:rPr>
          <w:rFonts w:ascii="Impact" w:hAnsi="Impact"/>
          <w:color w:val="FF0000"/>
          <w:sz w:val="96"/>
          <w:szCs w:val="96"/>
        </w:rPr>
        <w:t>Eğitim</w:t>
      </w:r>
      <w:r w:rsidRPr="003C6C89">
        <w:rPr>
          <w:rFonts w:ascii="Impact" w:hAnsi="Impact"/>
          <w:color w:val="3366FF"/>
          <w:sz w:val="96"/>
          <w:szCs w:val="96"/>
        </w:rPr>
        <w:t>iş</w:t>
      </w:r>
    </w:p>
    <w:p w:rsidR="00095F87" w:rsidRDefault="00095F87" w:rsidP="00095F87">
      <w:pPr>
        <w:pStyle w:val="Balk1"/>
        <w:spacing w:before="120" w:after="120"/>
        <w:rPr>
          <w:sz w:val="36"/>
          <w:szCs w:val="24"/>
        </w:rPr>
      </w:pPr>
      <w:r>
        <w:rPr>
          <w:sz w:val="28"/>
          <w:szCs w:val="28"/>
        </w:rPr>
        <w:t xml:space="preserve">        </w:t>
      </w:r>
      <w:r w:rsidRPr="00CC63CA">
        <w:rPr>
          <w:sz w:val="28"/>
          <w:szCs w:val="28"/>
        </w:rPr>
        <w:t xml:space="preserve">Eğitim ve Bilim </w:t>
      </w:r>
      <w:proofErr w:type="spellStart"/>
      <w:r w:rsidRPr="00CC63CA">
        <w:rPr>
          <w:sz w:val="28"/>
          <w:szCs w:val="28"/>
        </w:rPr>
        <w:t>İşgörenleri</w:t>
      </w:r>
      <w:proofErr w:type="spellEnd"/>
      <w:r w:rsidRPr="00CC63CA">
        <w:rPr>
          <w:sz w:val="28"/>
          <w:szCs w:val="28"/>
        </w:rPr>
        <w:t xml:space="preserve"> Sendikası</w:t>
      </w:r>
    </w:p>
    <w:p w:rsidR="00095F87" w:rsidRDefault="00095F87" w:rsidP="00095F87">
      <w:pPr>
        <w:pStyle w:val="Balk1"/>
        <w:spacing w:before="120" w:after="120"/>
      </w:pPr>
      <w:r>
        <w:t xml:space="preserve">                    GENEL MERKEZİ</w:t>
      </w:r>
    </w:p>
    <w:p w:rsidR="00095F87" w:rsidRPr="00EE5CA0" w:rsidRDefault="00095F87" w:rsidP="00095F87">
      <w:pPr>
        <w:ind w:left="7788"/>
        <w:rPr>
          <w:sz w:val="24"/>
          <w:szCs w:val="24"/>
        </w:rPr>
      </w:pPr>
      <w:r w:rsidRPr="004B2C06">
        <w:t xml:space="preserve">                                                                                 </w:t>
      </w:r>
      <w:r>
        <w:t xml:space="preserve">                                                                                        </w:t>
      </w:r>
      <w:r w:rsidR="0074220D">
        <w:rPr>
          <w:sz w:val="24"/>
          <w:szCs w:val="24"/>
        </w:rPr>
        <w:t>07</w:t>
      </w:r>
      <w:r w:rsidRPr="007044EE">
        <w:rPr>
          <w:sz w:val="24"/>
          <w:szCs w:val="24"/>
        </w:rPr>
        <w:t>.</w:t>
      </w:r>
      <w:r w:rsidR="00145920">
        <w:rPr>
          <w:sz w:val="24"/>
          <w:szCs w:val="24"/>
        </w:rPr>
        <w:t>11</w:t>
      </w:r>
      <w:r>
        <w:rPr>
          <w:sz w:val="24"/>
          <w:szCs w:val="24"/>
        </w:rPr>
        <w:t>.201</w:t>
      </w:r>
      <w:r w:rsidR="00017775">
        <w:rPr>
          <w:sz w:val="24"/>
          <w:szCs w:val="24"/>
        </w:rPr>
        <w:t>8</w:t>
      </w:r>
      <w:r>
        <w:rPr>
          <w:b/>
          <w:sz w:val="32"/>
          <w:szCs w:val="32"/>
        </w:rPr>
        <w:t xml:space="preserve">                    </w:t>
      </w:r>
    </w:p>
    <w:p w:rsidR="00095F87" w:rsidRDefault="00095F87" w:rsidP="00740B65">
      <w:pPr>
        <w:spacing w:line="360" w:lineRule="auto"/>
        <w:jc w:val="center"/>
        <w:rPr>
          <w:b/>
          <w:sz w:val="24"/>
          <w:szCs w:val="24"/>
        </w:rPr>
      </w:pPr>
    </w:p>
    <w:p w:rsidR="00095F87" w:rsidRDefault="00095F87" w:rsidP="00740B65">
      <w:pPr>
        <w:spacing w:line="360" w:lineRule="auto"/>
        <w:jc w:val="center"/>
        <w:rPr>
          <w:b/>
          <w:sz w:val="24"/>
          <w:szCs w:val="24"/>
        </w:rPr>
      </w:pPr>
    </w:p>
    <w:p w:rsidR="0074220D" w:rsidRPr="0081034B" w:rsidRDefault="0074220D" w:rsidP="0074220D">
      <w:pPr>
        <w:jc w:val="center"/>
        <w:rPr>
          <w:b/>
          <w:sz w:val="24"/>
          <w:szCs w:val="24"/>
        </w:rPr>
      </w:pPr>
      <w:r w:rsidRPr="0081034B">
        <w:rPr>
          <w:b/>
          <w:sz w:val="24"/>
          <w:szCs w:val="24"/>
        </w:rPr>
        <w:t>MEB BÜTÇESİNDE YATIRIMA YER YOK</w:t>
      </w:r>
    </w:p>
    <w:p w:rsidR="0074220D" w:rsidRDefault="0074220D" w:rsidP="0074220D">
      <w:pPr>
        <w:rPr>
          <w:sz w:val="24"/>
          <w:szCs w:val="24"/>
        </w:rPr>
      </w:pPr>
    </w:p>
    <w:p w:rsidR="0074220D" w:rsidRPr="005C4D40" w:rsidRDefault="0074220D" w:rsidP="0074220D">
      <w:pPr>
        <w:spacing w:line="360" w:lineRule="auto"/>
        <w:jc w:val="both"/>
        <w:rPr>
          <w:sz w:val="24"/>
          <w:szCs w:val="24"/>
        </w:rPr>
      </w:pPr>
      <w:bookmarkStart w:id="0" w:name="_GoBack"/>
      <w:bookmarkEnd w:id="0"/>
      <w:r w:rsidRPr="005C4D40">
        <w:rPr>
          <w:sz w:val="24"/>
          <w:szCs w:val="24"/>
        </w:rPr>
        <w:t>Milli Eğitim Bakanlığı’nın 2019 yılı bütçesi, TBMM Plan ve Bütçe Komisyonu’nda görüşülmeye başlandı.</w:t>
      </w:r>
    </w:p>
    <w:p w:rsidR="0074220D" w:rsidRDefault="0074220D" w:rsidP="0074220D">
      <w:pPr>
        <w:spacing w:line="360" w:lineRule="auto"/>
        <w:jc w:val="both"/>
        <w:rPr>
          <w:sz w:val="24"/>
          <w:szCs w:val="24"/>
        </w:rPr>
      </w:pPr>
      <w:r w:rsidRPr="005C4D40">
        <w:rPr>
          <w:sz w:val="24"/>
          <w:szCs w:val="24"/>
        </w:rPr>
        <w:t>MEB bütçesi, artan okul, derslik, öğretmen ihtiyacı ve altyapı sorunlarına rağmen 2019 yılı için 113.813.013.000 TL olarak belirlenmiştir.  Bütçeden Milli Eğitim Bakanlığı’na ayrılan bu miktar, eğitimin temel ihtiyaçlarını karşılamaktan ve eksiklikleri gidermekten oldukça uzaktır.</w:t>
      </w:r>
    </w:p>
    <w:p w:rsidR="0074220D" w:rsidRDefault="0074220D" w:rsidP="0074220D">
      <w:pPr>
        <w:rPr>
          <w:sz w:val="24"/>
          <w:szCs w:val="24"/>
        </w:rPr>
      </w:pPr>
    </w:p>
    <w:p w:rsidR="0074220D" w:rsidRDefault="0074220D" w:rsidP="0074220D">
      <w:pPr>
        <w:rPr>
          <w:sz w:val="24"/>
          <w:szCs w:val="24"/>
        </w:rPr>
      </w:pPr>
      <w:r w:rsidRPr="005C4D40">
        <w:rPr>
          <w:sz w:val="24"/>
          <w:szCs w:val="24"/>
        </w:rPr>
        <w:t>Tablo 1: 2019 Yılı Eğitim Bütçesi</w:t>
      </w:r>
    </w:p>
    <w:tbl>
      <w:tblPr>
        <w:tblStyle w:val="KlavuzTablo1Ak-Vurgu1"/>
        <w:tblW w:w="9211" w:type="dxa"/>
        <w:tblLook w:val="04A0" w:firstRow="1" w:lastRow="0" w:firstColumn="1" w:lastColumn="0" w:noHBand="0" w:noVBand="1"/>
      </w:tblPr>
      <w:tblGrid>
        <w:gridCol w:w="4511"/>
        <w:gridCol w:w="4700"/>
      </w:tblGrid>
      <w:tr w:rsidR="0074220D" w:rsidRPr="00D94C4B" w:rsidTr="00F61992">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211" w:type="dxa"/>
            <w:gridSpan w:val="2"/>
          </w:tcPr>
          <w:p w:rsidR="0074220D" w:rsidRPr="00D94C4B" w:rsidRDefault="0074220D" w:rsidP="00F61992">
            <w:pPr>
              <w:spacing w:before="120" w:line="276" w:lineRule="auto"/>
              <w:jc w:val="center"/>
              <w:rPr>
                <w:rFonts w:cs="Arial"/>
                <w:sz w:val="28"/>
                <w:szCs w:val="28"/>
              </w:rPr>
            </w:pPr>
            <w:r w:rsidRPr="00D94C4B">
              <w:rPr>
                <w:rFonts w:cs="Arial"/>
                <w:color w:val="C00000"/>
                <w:sz w:val="28"/>
                <w:szCs w:val="28"/>
              </w:rPr>
              <w:t>EĞİTİM BÜTÇESİ</w:t>
            </w:r>
          </w:p>
        </w:tc>
      </w:tr>
      <w:tr w:rsidR="0074220D" w:rsidRPr="00D94C4B" w:rsidTr="00F61992">
        <w:trPr>
          <w:trHeight w:val="236"/>
        </w:trPr>
        <w:tc>
          <w:tcPr>
            <w:cnfStyle w:val="001000000000" w:firstRow="0" w:lastRow="0" w:firstColumn="1" w:lastColumn="0" w:oddVBand="0" w:evenVBand="0" w:oddHBand="0" w:evenHBand="0" w:firstRowFirstColumn="0" w:firstRowLastColumn="0" w:lastRowFirstColumn="0" w:lastRowLastColumn="0"/>
            <w:tcW w:w="4511" w:type="dxa"/>
          </w:tcPr>
          <w:p w:rsidR="0074220D" w:rsidRPr="00D94C4B" w:rsidRDefault="0074220D" w:rsidP="00F61992">
            <w:pPr>
              <w:spacing w:before="120" w:line="276" w:lineRule="auto"/>
              <w:jc w:val="center"/>
              <w:rPr>
                <w:rFonts w:cs="Arial"/>
                <w:color w:val="FF0000"/>
                <w:sz w:val="28"/>
                <w:szCs w:val="28"/>
              </w:rPr>
            </w:pPr>
            <w:r w:rsidRPr="00D94C4B">
              <w:rPr>
                <w:rFonts w:cs="Arial"/>
                <w:color w:val="FF0000"/>
                <w:sz w:val="28"/>
                <w:szCs w:val="28"/>
              </w:rPr>
              <w:t>Milli Eğitim</w:t>
            </w:r>
          </w:p>
        </w:tc>
        <w:tc>
          <w:tcPr>
            <w:tcW w:w="4700" w:type="dxa"/>
          </w:tcPr>
          <w:p w:rsidR="0074220D" w:rsidRPr="00D94C4B" w:rsidRDefault="0074220D" w:rsidP="00F61992">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D94C4B">
              <w:rPr>
                <w:rFonts w:cs="Arial"/>
                <w:sz w:val="28"/>
                <w:szCs w:val="28"/>
              </w:rPr>
              <w:t>113.813.013.000 TL</w:t>
            </w:r>
          </w:p>
        </w:tc>
      </w:tr>
      <w:tr w:rsidR="0074220D" w:rsidRPr="00D94C4B" w:rsidTr="00F61992">
        <w:trPr>
          <w:trHeight w:val="479"/>
        </w:trPr>
        <w:tc>
          <w:tcPr>
            <w:cnfStyle w:val="001000000000" w:firstRow="0" w:lastRow="0" w:firstColumn="1" w:lastColumn="0" w:oddVBand="0" w:evenVBand="0" w:oddHBand="0" w:evenHBand="0" w:firstRowFirstColumn="0" w:firstRowLastColumn="0" w:lastRowFirstColumn="0" w:lastRowLastColumn="0"/>
            <w:tcW w:w="4511" w:type="dxa"/>
          </w:tcPr>
          <w:p w:rsidR="0074220D" w:rsidRPr="00D94C4B" w:rsidRDefault="0074220D" w:rsidP="00F61992">
            <w:pPr>
              <w:spacing w:before="120" w:line="276" w:lineRule="auto"/>
              <w:jc w:val="center"/>
              <w:rPr>
                <w:rFonts w:cs="Arial"/>
                <w:color w:val="FF0000"/>
                <w:sz w:val="28"/>
                <w:szCs w:val="28"/>
              </w:rPr>
            </w:pPr>
            <w:r w:rsidRPr="00D94C4B">
              <w:rPr>
                <w:rFonts w:cs="Arial"/>
                <w:color w:val="FF0000"/>
                <w:sz w:val="28"/>
                <w:szCs w:val="28"/>
              </w:rPr>
              <w:t>YÖK ve Üniversiteler</w:t>
            </w:r>
          </w:p>
        </w:tc>
        <w:tc>
          <w:tcPr>
            <w:tcW w:w="4700" w:type="dxa"/>
          </w:tcPr>
          <w:p w:rsidR="0074220D" w:rsidRPr="00D94C4B" w:rsidRDefault="0074220D" w:rsidP="00F61992">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D94C4B">
              <w:rPr>
                <w:rFonts w:cs="Arial"/>
                <w:sz w:val="28"/>
                <w:szCs w:val="28"/>
              </w:rPr>
              <w:t>33.023.355.000 TL</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4511" w:type="dxa"/>
          </w:tcPr>
          <w:p w:rsidR="0074220D" w:rsidRPr="00D94C4B" w:rsidRDefault="0074220D" w:rsidP="00F61992">
            <w:pPr>
              <w:spacing w:before="120" w:line="276" w:lineRule="auto"/>
              <w:jc w:val="center"/>
              <w:rPr>
                <w:rFonts w:cs="Arial"/>
                <w:color w:val="FF0000"/>
                <w:sz w:val="28"/>
                <w:szCs w:val="28"/>
              </w:rPr>
            </w:pPr>
            <w:r w:rsidRPr="00D94C4B">
              <w:rPr>
                <w:rFonts w:cs="Arial"/>
                <w:color w:val="FF0000"/>
                <w:sz w:val="28"/>
                <w:szCs w:val="28"/>
              </w:rPr>
              <w:t>ÖSYM</w:t>
            </w:r>
          </w:p>
        </w:tc>
        <w:tc>
          <w:tcPr>
            <w:tcW w:w="4700" w:type="dxa"/>
          </w:tcPr>
          <w:p w:rsidR="0074220D" w:rsidRPr="00D94C4B" w:rsidRDefault="0074220D" w:rsidP="00F61992">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D94C4B">
              <w:rPr>
                <w:rFonts w:cs="Arial"/>
                <w:sz w:val="28"/>
                <w:szCs w:val="28"/>
              </w:rPr>
              <w:t>549.555.000 TL</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4511" w:type="dxa"/>
          </w:tcPr>
          <w:p w:rsidR="0074220D" w:rsidRPr="00D94C4B" w:rsidRDefault="0074220D" w:rsidP="00F61992">
            <w:pPr>
              <w:spacing w:before="120" w:line="276" w:lineRule="auto"/>
              <w:jc w:val="center"/>
              <w:rPr>
                <w:rFonts w:cs="Arial"/>
                <w:color w:val="FF0000"/>
                <w:sz w:val="28"/>
                <w:szCs w:val="28"/>
              </w:rPr>
            </w:pPr>
            <w:r w:rsidRPr="00D94C4B">
              <w:rPr>
                <w:rFonts w:cs="Arial"/>
                <w:color w:val="FF0000"/>
                <w:sz w:val="28"/>
                <w:szCs w:val="28"/>
              </w:rPr>
              <w:t>Kredi ve Yurtlar Genel Müdürlüğü</w:t>
            </w:r>
          </w:p>
        </w:tc>
        <w:tc>
          <w:tcPr>
            <w:tcW w:w="4700" w:type="dxa"/>
          </w:tcPr>
          <w:p w:rsidR="0074220D" w:rsidRPr="00D94C4B" w:rsidRDefault="0074220D" w:rsidP="00F61992">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D94C4B">
              <w:rPr>
                <w:rFonts w:cs="Arial"/>
                <w:sz w:val="28"/>
                <w:szCs w:val="28"/>
              </w:rPr>
              <w:t>10.376.998.000 TL</w:t>
            </w:r>
          </w:p>
        </w:tc>
      </w:tr>
      <w:tr w:rsidR="0074220D" w:rsidRPr="00D94C4B" w:rsidTr="00F61992">
        <w:trPr>
          <w:trHeight w:val="296"/>
        </w:trPr>
        <w:tc>
          <w:tcPr>
            <w:cnfStyle w:val="001000000000" w:firstRow="0" w:lastRow="0" w:firstColumn="1" w:lastColumn="0" w:oddVBand="0" w:evenVBand="0" w:oddHBand="0" w:evenHBand="0" w:firstRowFirstColumn="0" w:firstRowLastColumn="0" w:lastRowFirstColumn="0" w:lastRowLastColumn="0"/>
            <w:tcW w:w="4511" w:type="dxa"/>
          </w:tcPr>
          <w:p w:rsidR="0074220D" w:rsidRPr="00D94C4B" w:rsidRDefault="0074220D" w:rsidP="00F61992">
            <w:pPr>
              <w:spacing w:before="120" w:line="276" w:lineRule="auto"/>
              <w:jc w:val="center"/>
              <w:rPr>
                <w:rFonts w:cs="Arial"/>
                <w:color w:val="FF0000"/>
                <w:sz w:val="28"/>
                <w:szCs w:val="28"/>
              </w:rPr>
            </w:pPr>
            <w:r w:rsidRPr="00D94C4B">
              <w:rPr>
                <w:rFonts w:cs="Arial"/>
                <w:color w:val="FF0000"/>
                <w:sz w:val="28"/>
                <w:szCs w:val="28"/>
              </w:rPr>
              <w:t>TOPLAM</w:t>
            </w:r>
          </w:p>
        </w:tc>
        <w:tc>
          <w:tcPr>
            <w:tcW w:w="4700" w:type="dxa"/>
          </w:tcPr>
          <w:p w:rsidR="0074220D" w:rsidRPr="00D94C4B" w:rsidRDefault="0074220D" w:rsidP="00F61992">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b/>
                <w:sz w:val="28"/>
                <w:szCs w:val="28"/>
              </w:rPr>
            </w:pPr>
            <w:r w:rsidRPr="00D94C4B">
              <w:rPr>
                <w:rFonts w:cs="Arial"/>
                <w:b/>
                <w:sz w:val="28"/>
                <w:szCs w:val="28"/>
              </w:rPr>
              <w:t>157.762.921.000 TL</w:t>
            </w:r>
          </w:p>
        </w:tc>
      </w:tr>
    </w:tbl>
    <w:p w:rsidR="0074220D" w:rsidRDefault="0074220D" w:rsidP="0074220D">
      <w:pPr>
        <w:rPr>
          <w:sz w:val="24"/>
          <w:szCs w:val="24"/>
        </w:rPr>
      </w:pPr>
      <w:r w:rsidRPr="005C4D40">
        <w:rPr>
          <w:sz w:val="24"/>
          <w:szCs w:val="24"/>
        </w:rPr>
        <w:t>Kaynak: Maliye Bakanlığı</w:t>
      </w:r>
    </w:p>
    <w:p w:rsidR="0074220D" w:rsidRDefault="0074220D" w:rsidP="0074220D">
      <w:pPr>
        <w:rPr>
          <w:sz w:val="24"/>
          <w:szCs w:val="24"/>
        </w:rPr>
      </w:pPr>
    </w:p>
    <w:p w:rsidR="0074220D" w:rsidRPr="00D94C4B" w:rsidRDefault="0074220D" w:rsidP="0074220D">
      <w:pPr>
        <w:spacing w:before="120" w:line="276" w:lineRule="auto"/>
        <w:rPr>
          <w:rFonts w:cs="Arial"/>
          <w:b/>
          <w:sz w:val="28"/>
          <w:szCs w:val="28"/>
        </w:rPr>
      </w:pPr>
      <w:r w:rsidRPr="00D94C4B">
        <w:rPr>
          <w:rFonts w:cs="Arial"/>
          <w:b/>
          <w:sz w:val="28"/>
          <w:szCs w:val="28"/>
        </w:rPr>
        <w:t>Tablo 2: Eğitim Bütçesinin GSYH ve Merkezi Yönetim Bütçesine Oranı</w:t>
      </w:r>
    </w:p>
    <w:tbl>
      <w:tblPr>
        <w:tblStyle w:val="KlavuzTablo1Ak-Vurgu1"/>
        <w:tblW w:w="9302" w:type="dxa"/>
        <w:tblLook w:val="04A0" w:firstRow="1" w:lastRow="0" w:firstColumn="1" w:lastColumn="0" w:noHBand="0" w:noVBand="1"/>
      </w:tblPr>
      <w:tblGrid>
        <w:gridCol w:w="2835"/>
        <w:gridCol w:w="2977"/>
        <w:gridCol w:w="3490"/>
      </w:tblGrid>
      <w:tr w:rsidR="0074220D" w:rsidRPr="00D94C4B" w:rsidTr="00F61992">
        <w:trPr>
          <w:cnfStyle w:val="100000000000" w:firstRow="1" w:lastRow="0" w:firstColumn="0" w:lastColumn="0" w:oddVBand="0" w:evenVBand="0" w:oddHBand="0"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835" w:type="dxa"/>
            <w:noWrap/>
            <w:hideMark/>
          </w:tcPr>
          <w:p w:rsidR="0074220D" w:rsidRPr="00D94C4B" w:rsidRDefault="0074220D" w:rsidP="00F61992">
            <w:pPr>
              <w:spacing w:line="276" w:lineRule="auto"/>
              <w:jc w:val="center"/>
              <w:rPr>
                <w:rFonts w:cs="Arial"/>
                <w:color w:val="FF0000"/>
                <w:sz w:val="28"/>
                <w:szCs w:val="28"/>
              </w:rPr>
            </w:pPr>
          </w:p>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Yıllar</w:t>
            </w:r>
          </w:p>
        </w:tc>
        <w:tc>
          <w:tcPr>
            <w:tcW w:w="2977" w:type="dxa"/>
            <w:hideMark/>
          </w:tcPr>
          <w:p w:rsidR="0074220D" w:rsidRPr="00D94C4B" w:rsidRDefault="0074220D" w:rsidP="00F6199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 xml:space="preserve">Merkezi </w:t>
            </w:r>
            <w:proofErr w:type="spellStart"/>
            <w:proofErr w:type="gramStart"/>
            <w:r w:rsidRPr="00D94C4B">
              <w:rPr>
                <w:rFonts w:cs="Arial"/>
                <w:color w:val="FF0000"/>
                <w:sz w:val="28"/>
                <w:szCs w:val="28"/>
              </w:rPr>
              <w:t>Yön.Büt</w:t>
            </w:r>
            <w:proofErr w:type="gramEnd"/>
            <w:r w:rsidRPr="00D94C4B">
              <w:rPr>
                <w:rFonts w:cs="Arial"/>
                <w:color w:val="FF0000"/>
                <w:sz w:val="28"/>
                <w:szCs w:val="28"/>
              </w:rPr>
              <w:t>.İçindeki</w:t>
            </w:r>
            <w:proofErr w:type="spellEnd"/>
            <w:r w:rsidRPr="00D94C4B">
              <w:rPr>
                <w:rFonts w:cs="Arial"/>
                <w:color w:val="FF0000"/>
                <w:sz w:val="28"/>
                <w:szCs w:val="28"/>
              </w:rPr>
              <w:t xml:space="preserve"> Payı(%)</w:t>
            </w:r>
          </w:p>
        </w:tc>
        <w:tc>
          <w:tcPr>
            <w:tcW w:w="3490" w:type="dxa"/>
            <w:hideMark/>
          </w:tcPr>
          <w:p w:rsidR="0074220D" w:rsidRPr="00D94C4B" w:rsidRDefault="0074220D" w:rsidP="00F6199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GSYH oranı (%)</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2003</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9,18</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3,79</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2004</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10,98</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3,86</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2005</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12,87</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4,14</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2006</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13,77</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*3,05</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2007</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14,54</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*3,39</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lastRenderedPageBreak/>
              <w:t>2008</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14,52</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*3,25</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2009</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14,74</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*3,87</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2010</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14,11</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*3,49</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2011</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15,72</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*3,52</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2012</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16,13</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*3,61</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2013</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16,92</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*3,78</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2014</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18,13</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*3,86</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2015</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18,59</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*3,76</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hideMark/>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2016</w:t>
            </w:r>
          </w:p>
        </w:tc>
        <w:tc>
          <w:tcPr>
            <w:tcW w:w="2977"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19,24</w:t>
            </w:r>
          </w:p>
        </w:tc>
        <w:tc>
          <w:tcPr>
            <w:tcW w:w="3490" w:type="dxa"/>
            <w:noWrap/>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*4,21</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tcPr>
          <w:p w:rsidR="0074220D" w:rsidRPr="00D94C4B" w:rsidRDefault="0074220D" w:rsidP="00F61992">
            <w:pPr>
              <w:spacing w:line="276" w:lineRule="auto"/>
              <w:jc w:val="center"/>
              <w:rPr>
                <w:rFonts w:cs="Arial"/>
                <w:color w:val="002060"/>
                <w:sz w:val="28"/>
                <w:szCs w:val="28"/>
              </w:rPr>
            </w:pPr>
            <w:r w:rsidRPr="00D94C4B">
              <w:rPr>
                <w:rFonts w:cs="Arial"/>
                <w:color w:val="002060"/>
                <w:sz w:val="28"/>
                <w:szCs w:val="28"/>
              </w:rPr>
              <w:t>2017</w:t>
            </w:r>
          </w:p>
        </w:tc>
        <w:tc>
          <w:tcPr>
            <w:tcW w:w="2977" w:type="dxa"/>
            <w:noWrap/>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18,98</w:t>
            </w:r>
          </w:p>
        </w:tc>
        <w:tc>
          <w:tcPr>
            <w:tcW w:w="3490" w:type="dxa"/>
            <w:noWrap/>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*4,03</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tcPr>
          <w:p w:rsidR="0074220D" w:rsidRPr="00D94C4B" w:rsidRDefault="0074220D" w:rsidP="00F61992">
            <w:pPr>
              <w:spacing w:line="276" w:lineRule="auto"/>
              <w:jc w:val="center"/>
              <w:rPr>
                <w:rFonts w:cs="Arial"/>
                <w:color w:val="002060"/>
                <w:sz w:val="28"/>
                <w:szCs w:val="28"/>
                <w:u w:val="single"/>
              </w:rPr>
            </w:pPr>
            <w:r w:rsidRPr="00D94C4B">
              <w:rPr>
                <w:rFonts w:cs="Arial"/>
                <w:color w:val="002060"/>
                <w:sz w:val="28"/>
                <w:szCs w:val="28"/>
                <w:u w:val="single"/>
              </w:rPr>
              <w:t>2018</w:t>
            </w:r>
          </w:p>
        </w:tc>
        <w:tc>
          <w:tcPr>
            <w:tcW w:w="2977" w:type="dxa"/>
            <w:noWrap/>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 w:val="28"/>
                <w:szCs w:val="28"/>
                <w:u w:val="single"/>
              </w:rPr>
            </w:pPr>
            <w:r w:rsidRPr="00D94C4B">
              <w:rPr>
                <w:rFonts w:cs="Arial"/>
                <w:b/>
                <w:color w:val="002060"/>
                <w:sz w:val="28"/>
                <w:szCs w:val="28"/>
                <w:u w:val="single"/>
              </w:rPr>
              <w:t>17,66</w:t>
            </w:r>
          </w:p>
        </w:tc>
        <w:tc>
          <w:tcPr>
            <w:tcW w:w="3490" w:type="dxa"/>
            <w:noWrap/>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 w:val="28"/>
                <w:szCs w:val="28"/>
                <w:u w:val="single"/>
              </w:rPr>
            </w:pPr>
            <w:r w:rsidRPr="00D94C4B">
              <w:rPr>
                <w:rFonts w:cs="Arial"/>
                <w:b/>
                <w:color w:val="FF0000"/>
                <w:sz w:val="28"/>
                <w:szCs w:val="28"/>
                <w:u w:val="single"/>
              </w:rPr>
              <w:t>*3,90</w:t>
            </w:r>
          </w:p>
        </w:tc>
      </w:tr>
      <w:tr w:rsidR="0074220D" w:rsidRPr="00D94C4B" w:rsidTr="00F61992">
        <w:trPr>
          <w:trHeight w:val="330"/>
        </w:trPr>
        <w:tc>
          <w:tcPr>
            <w:cnfStyle w:val="001000000000" w:firstRow="0" w:lastRow="0" w:firstColumn="1" w:lastColumn="0" w:oddVBand="0" w:evenVBand="0" w:oddHBand="0" w:evenHBand="0" w:firstRowFirstColumn="0" w:firstRowLastColumn="0" w:lastRowFirstColumn="0" w:lastRowLastColumn="0"/>
            <w:tcW w:w="2835" w:type="dxa"/>
          </w:tcPr>
          <w:p w:rsidR="0074220D" w:rsidRPr="00D94C4B" w:rsidRDefault="0074220D" w:rsidP="00F61992">
            <w:pPr>
              <w:spacing w:line="276" w:lineRule="auto"/>
              <w:jc w:val="center"/>
              <w:rPr>
                <w:rFonts w:cs="Arial"/>
                <w:color w:val="002060"/>
                <w:sz w:val="28"/>
                <w:szCs w:val="28"/>
                <w:u w:val="single"/>
              </w:rPr>
            </w:pPr>
            <w:r w:rsidRPr="00D94C4B">
              <w:rPr>
                <w:rFonts w:cs="Arial"/>
                <w:color w:val="002060"/>
                <w:sz w:val="28"/>
                <w:szCs w:val="28"/>
                <w:u w:val="single"/>
              </w:rPr>
              <w:t>2019*</w:t>
            </w:r>
          </w:p>
        </w:tc>
        <w:tc>
          <w:tcPr>
            <w:tcW w:w="2977" w:type="dxa"/>
            <w:noWrap/>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 w:val="28"/>
                <w:szCs w:val="28"/>
                <w:u w:val="single"/>
              </w:rPr>
            </w:pPr>
            <w:r w:rsidRPr="00D94C4B">
              <w:rPr>
                <w:rFonts w:cs="Arial"/>
                <w:b/>
                <w:color w:val="002060"/>
                <w:sz w:val="28"/>
                <w:szCs w:val="28"/>
                <w:u w:val="single"/>
              </w:rPr>
              <w:t>16,41</w:t>
            </w:r>
          </w:p>
        </w:tc>
        <w:tc>
          <w:tcPr>
            <w:tcW w:w="3490" w:type="dxa"/>
            <w:noWrap/>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 w:val="28"/>
                <w:szCs w:val="28"/>
                <w:u w:val="single"/>
              </w:rPr>
            </w:pPr>
            <w:r w:rsidRPr="00D94C4B">
              <w:rPr>
                <w:rFonts w:cs="Arial"/>
                <w:b/>
                <w:color w:val="FF0000"/>
                <w:sz w:val="28"/>
                <w:szCs w:val="28"/>
                <w:u w:val="single"/>
              </w:rPr>
              <w:t>*3,54</w:t>
            </w:r>
          </w:p>
        </w:tc>
      </w:tr>
    </w:tbl>
    <w:p w:rsidR="0074220D" w:rsidRPr="00D94C4B" w:rsidRDefault="0074220D" w:rsidP="0074220D">
      <w:pPr>
        <w:spacing w:before="120" w:line="276" w:lineRule="auto"/>
        <w:rPr>
          <w:rFonts w:cs="Arial"/>
          <w:b/>
          <w:color w:val="FF0000"/>
        </w:rPr>
      </w:pPr>
      <w:r w:rsidRPr="00D94C4B">
        <w:rPr>
          <w:rFonts w:cs="Arial"/>
          <w:b/>
          <w:color w:val="FF0000"/>
        </w:rPr>
        <w:t>*2009 Bazlı Yeni Milli Gelir Serisine Göre Hesaplanmıştır.</w:t>
      </w:r>
    </w:p>
    <w:p w:rsidR="0074220D" w:rsidRPr="005C4D40" w:rsidRDefault="0074220D" w:rsidP="0074220D">
      <w:pPr>
        <w:spacing w:before="120" w:line="360" w:lineRule="auto"/>
        <w:rPr>
          <w:b/>
          <w:sz w:val="24"/>
          <w:szCs w:val="24"/>
        </w:rPr>
      </w:pPr>
      <w:r w:rsidRPr="005C4D40">
        <w:rPr>
          <w:b/>
          <w:sz w:val="24"/>
          <w:szCs w:val="24"/>
        </w:rPr>
        <w:t>Tabloya göre eğitim bütçesi geçtiğimiz yıla göre GSYH içerisinde %1,2, Merkezi Yönetim Bütçesi içerisinde ise 0,36 azalmıştır.</w:t>
      </w:r>
    </w:p>
    <w:p w:rsidR="0074220D" w:rsidRPr="005C4D40" w:rsidRDefault="0074220D" w:rsidP="0074220D">
      <w:pPr>
        <w:spacing w:before="120" w:line="360" w:lineRule="auto"/>
        <w:rPr>
          <w:color w:val="C00000"/>
          <w:sz w:val="24"/>
          <w:szCs w:val="24"/>
        </w:rPr>
      </w:pPr>
      <w:r w:rsidRPr="005C4D40">
        <w:rPr>
          <w:sz w:val="24"/>
          <w:szCs w:val="24"/>
        </w:rPr>
        <w:t xml:space="preserve">Merkezi Yönetim Bütçesinden 2019 yılında eğitime 157 milyar 762 milyon lira ödenek ayrıldı. Ayrılan bu ödenek 960 milyar 975 milyon lira olan Merkezi Yönetim Bütçe ödeneklerinin yüzde 16,41’i kadar bir büyüklük oluşturdu. Eğitime bütçeden ayrılan payın oranı son dört yıldır azalmaktadır. </w:t>
      </w:r>
    </w:p>
    <w:p w:rsidR="0074220D" w:rsidRDefault="0074220D" w:rsidP="0074220D">
      <w:pPr>
        <w:spacing w:line="360" w:lineRule="auto"/>
        <w:rPr>
          <w:sz w:val="24"/>
          <w:szCs w:val="24"/>
        </w:rPr>
      </w:pPr>
      <w:r w:rsidRPr="005C4D40">
        <w:rPr>
          <w:sz w:val="24"/>
          <w:szCs w:val="24"/>
        </w:rPr>
        <w:t>OECD ülkelerinde milli gelirin ortalama yüzde 6’sı eğitime ayrılmaktadır. Bu haliyle Türkiye, 2019 yılında da milli eğitime ayırdığı bütçe açısından OECD ülkelerinin gerisinde kalmış, eğitime en az pay ayıran ülkeler arasında yer almaktan kendini kurtaramamıştır.</w:t>
      </w:r>
    </w:p>
    <w:p w:rsidR="0074220D" w:rsidRPr="00D94C4B" w:rsidRDefault="0074220D" w:rsidP="0074220D">
      <w:pPr>
        <w:spacing w:line="276" w:lineRule="auto"/>
        <w:ind w:firstLine="696"/>
        <w:rPr>
          <w:rFonts w:cs="Arial"/>
          <w:b/>
          <w:sz w:val="28"/>
          <w:szCs w:val="28"/>
        </w:rPr>
      </w:pPr>
      <w:r w:rsidRPr="00D94C4B">
        <w:rPr>
          <w:rFonts w:cs="Arial"/>
          <w:b/>
          <w:sz w:val="28"/>
          <w:szCs w:val="28"/>
        </w:rPr>
        <w:t xml:space="preserve">Tablo 3: </w:t>
      </w:r>
      <w:r w:rsidRPr="00D94C4B">
        <w:rPr>
          <w:rFonts w:cs="Arial"/>
          <w:b/>
          <w:bCs/>
          <w:sz w:val="28"/>
          <w:szCs w:val="28"/>
        </w:rPr>
        <w:t>MEB Bütçelerinin Merkezi Yönetim Bütçesi İçindeki Payı ve Milli Gelire Oranı</w:t>
      </w:r>
    </w:p>
    <w:tbl>
      <w:tblPr>
        <w:tblStyle w:val="KlavuzTablo1Ak-Vurgu1"/>
        <w:tblpPr w:leftFromText="141" w:rightFromText="141" w:vertAnchor="text" w:horzAnchor="margin" w:tblpY="70"/>
        <w:tblW w:w="5000" w:type="pct"/>
        <w:tblLook w:val="04A0" w:firstRow="1" w:lastRow="0" w:firstColumn="1" w:lastColumn="0" w:noHBand="0" w:noVBand="1"/>
      </w:tblPr>
      <w:tblGrid>
        <w:gridCol w:w="1394"/>
        <w:gridCol w:w="3436"/>
        <w:gridCol w:w="4232"/>
      </w:tblGrid>
      <w:tr w:rsidR="0074220D" w:rsidRPr="00D94C4B" w:rsidTr="00F61992">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rPr>
                <w:rFonts w:cs="Arial"/>
                <w:color w:val="FF0000"/>
                <w:kern w:val="36"/>
                <w:sz w:val="28"/>
                <w:szCs w:val="28"/>
              </w:rPr>
            </w:pPr>
            <w:r w:rsidRPr="00D94C4B">
              <w:rPr>
                <w:rFonts w:cs="Arial"/>
                <w:color w:val="FF0000"/>
                <w:kern w:val="36"/>
                <w:sz w:val="28"/>
                <w:szCs w:val="28"/>
              </w:rPr>
              <w:t>Yıllar</w:t>
            </w:r>
          </w:p>
        </w:tc>
        <w:tc>
          <w:tcPr>
            <w:tcW w:w="1896" w:type="pct"/>
            <w:hideMark/>
          </w:tcPr>
          <w:p w:rsidR="0074220D" w:rsidRPr="00D94C4B" w:rsidRDefault="0074220D" w:rsidP="00F6199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kern w:val="36"/>
                <w:sz w:val="28"/>
                <w:szCs w:val="28"/>
              </w:rPr>
              <w:t xml:space="preserve">MEB Bütçesinin </w:t>
            </w:r>
            <w:r w:rsidRPr="00D94C4B">
              <w:rPr>
                <w:rFonts w:cs="Arial"/>
                <w:color w:val="FF0000"/>
                <w:sz w:val="28"/>
                <w:szCs w:val="28"/>
              </w:rPr>
              <w:t>Merkezi Yönetim Bütçesi içindeki Payı (%)</w:t>
            </w:r>
          </w:p>
        </w:tc>
        <w:tc>
          <w:tcPr>
            <w:tcW w:w="2335" w:type="pct"/>
            <w:hideMark/>
          </w:tcPr>
          <w:p w:rsidR="0074220D" w:rsidRPr="00D94C4B" w:rsidRDefault="0074220D" w:rsidP="00F6199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MEB Bütçesinin GSYH’ye Oranı (%)</w:t>
            </w:r>
          </w:p>
        </w:tc>
      </w:tr>
      <w:tr w:rsidR="0074220D" w:rsidRPr="00D94C4B" w:rsidTr="00F61992">
        <w:trPr>
          <w:trHeight w:val="303"/>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2003</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6,91</w:t>
            </w:r>
          </w:p>
        </w:tc>
        <w:tc>
          <w:tcPr>
            <w:tcW w:w="2335"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2,24</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2004</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8,21</w:t>
            </w:r>
          </w:p>
        </w:tc>
        <w:tc>
          <w:tcPr>
            <w:tcW w:w="2335"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2,21</w:t>
            </w:r>
          </w:p>
        </w:tc>
      </w:tr>
      <w:tr w:rsidR="0074220D" w:rsidRPr="00D94C4B" w:rsidTr="00F61992">
        <w:trPr>
          <w:trHeight w:val="303"/>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2005</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9,50</w:t>
            </w:r>
          </w:p>
        </w:tc>
        <w:tc>
          <w:tcPr>
            <w:tcW w:w="2335"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2,23</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2006</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9,47</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*2,10</w:t>
            </w:r>
          </w:p>
        </w:tc>
      </w:tr>
      <w:tr w:rsidR="0074220D" w:rsidRPr="00D94C4B" w:rsidTr="00F61992">
        <w:trPr>
          <w:trHeight w:val="303"/>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2007</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10,42</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*2,43</w:t>
            </w:r>
          </w:p>
        </w:tc>
      </w:tr>
      <w:tr w:rsidR="0074220D" w:rsidRPr="00D94C4B" w:rsidTr="00F61992">
        <w:trPr>
          <w:trHeight w:val="303"/>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2008</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10,30</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*2,30</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2009</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10,47</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*2,75</w:t>
            </w:r>
          </w:p>
        </w:tc>
      </w:tr>
      <w:tr w:rsidR="0074220D" w:rsidRPr="00D94C4B" w:rsidTr="00F61992">
        <w:trPr>
          <w:trHeight w:val="303"/>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2010</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9,84</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*2,43</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lastRenderedPageBreak/>
              <w:t>2011</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10,91</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*2,45</w:t>
            </w:r>
          </w:p>
        </w:tc>
      </w:tr>
      <w:tr w:rsidR="0074220D" w:rsidRPr="00D94C4B" w:rsidTr="00F61992">
        <w:trPr>
          <w:trHeight w:val="303"/>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2012</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11,16</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*2,50</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hideMark/>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2013</w:t>
            </w:r>
          </w:p>
        </w:tc>
        <w:tc>
          <w:tcPr>
            <w:tcW w:w="1896" w:type="pct"/>
            <w:hideMark/>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11,76</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*2,62</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2014</w:t>
            </w:r>
          </w:p>
        </w:tc>
        <w:tc>
          <w:tcPr>
            <w:tcW w:w="1896"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12,81</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*2,72</w:t>
            </w:r>
          </w:p>
        </w:tc>
      </w:tr>
      <w:tr w:rsidR="0074220D" w:rsidRPr="00D94C4B" w:rsidTr="00F61992">
        <w:trPr>
          <w:trHeight w:val="290"/>
        </w:trPr>
        <w:tc>
          <w:tcPr>
            <w:cnfStyle w:val="001000000000" w:firstRow="0" w:lastRow="0" w:firstColumn="1" w:lastColumn="0" w:oddVBand="0" w:evenVBand="0" w:oddHBand="0" w:evenHBand="0" w:firstRowFirstColumn="0" w:firstRowLastColumn="0" w:lastRowFirstColumn="0" w:lastRowLastColumn="0"/>
            <w:tcW w:w="769" w:type="pct"/>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2015</w:t>
            </w:r>
          </w:p>
        </w:tc>
        <w:tc>
          <w:tcPr>
            <w:tcW w:w="1896"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13,11</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*2,65</w:t>
            </w:r>
          </w:p>
        </w:tc>
      </w:tr>
      <w:tr w:rsidR="0074220D" w:rsidRPr="00D94C4B" w:rsidTr="00F61992">
        <w:trPr>
          <w:trHeight w:val="241"/>
        </w:trPr>
        <w:tc>
          <w:tcPr>
            <w:cnfStyle w:val="001000000000" w:firstRow="0" w:lastRow="0" w:firstColumn="1" w:lastColumn="0" w:oddVBand="0" w:evenVBand="0" w:oddHBand="0" w:evenHBand="0" w:firstRowFirstColumn="0" w:firstRowLastColumn="0" w:lastRowFirstColumn="0" w:lastRowLastColumn="0"/>
            <w:tcW w:w="769" w:type="pct"/>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2016</w:t>
            </w:r>
          </w:p>
        </w:tc>
        <w:tc>
          <w:tcPr>
            <w:tcW w:w="1896"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13,38</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*2,93</w:t>
            </w:r>
          </w:p>
        </w:tc>
      </w:tr>
      <w:tr w:rsidR="0074220D" w:rsidRPr="00D94C4B" w:rsidTr="00F61992">
        <w:trPr>
          <w:trHeight w:val="241"/>
        </w:trPr>
        <w:tc>
          <w:tcPr>
            <w:cnfStyle w:val="001000000000" w:firstRow="0" w:lastRow="0" w:firstColumn="1" w:lastColumn="0" w:oddVBand="0" w:evenVBand="0" w:oddHBand="0" w:evenHBand="0" w:firstRowFirstColumn="0" w:firstRowLastColumn="0" w:lastRowFirstColumn="0" w:lastRowLastColumn="0"/>
            <w:tcW w:w="769" w:type="pct"/>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2017</w:t>
            </w:r>
          </w:p>
        </w:tc>
        <w:tc>
          <w:tcPr>
            <w:tcW w:w="1896"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 w:val="28"/>
                <w:szCs w:val="28"/>
              </w:rPr>
            </w:pPr>
            <w:r w:rsidRPr="00D94C4B">
              <w:rPr>
                <w:rFonts w:cs="Arial"/>
                <w:color w:val="002060"/>
                <w:sz w:val="28"/>
                <w:szCs w:val="28"/>
              </w:rPr>
              <w:t>13,18</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 w:val="28"/>
                <w:szCs w:val="28"/>
              </w:rPr>
            </w:pPr>
            <w:r w:rsidRPr="00D94C4B">
              <w:rPr>
                <w:rFonts w:cs="Arial"/>
                <w:color w:val="FF0000"/>
                <w:sz w:val="28"/>
                <w:szCs w:val="28"/>
              </w:rPr>
              <w:t>*2,80</w:t>
            </w:r>
          </w:p>
        </w:tc>
      </w:tr>
      <w:tr w:rsidR="0074220D" w:rsidRPr="00D94C4B" w:rsidTr="00F61992">
        <w:trPr>
          <w:trHeight w:val="241"/>
        </w:trPr>
        <w:tc>
          <w:tcPr>
            <w:cnfStyle w:val="001000000000" w:firstRow="0" w:lastRow="0" w:firstColumn="1" w:lastColumn="0" w:oddVBand="0" w:evenVBand="0" w:oddHBand="0" w:evenHBand="0" w:firstRowFirstColumn="0" w:firstRowLastColumn="0" w:lastRowFirstColumn="0" w:lastRowLastColumn="0"/>
            <w:tcW w:w="769" w:type="pct"/>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2018</w:t>
            </w:r>
          </w:p>
        </w:tc>
        <w:tc>
          <w:tcPr>
            <w:tcW w:w="1896"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 w:val="28"/>
                <w:szCs w:val="28"/>
              </w:rPr>
            </w:pPr>
            <w:r w:rsidRPr="00D94C4B">
              <w:rPr>
                <w:rFonts w:cs="Arial"/>
                <w:b/>
                <w:color w:val="002060"/>
                <w:sz w:val="28"/>
                <w:szCs w:val="28"/>
              </w:rPr>
              <w:t>12,13</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 w:val="28"/>
                <w:szCs w:val="28"/>
              </w:rPr>
            </w:pPr>
            <w:r w:rsidRPr="00D94C4B">
              <w:rPr>
                <w:rFonts w:cs="Arial"/>
                <w:b/>
                <w:color w:val="FF0000"/>
                <w:sz w:val="28"/>
                <w:szCs w:val="28"/>
              </w:rPr>
              <w:t>*2,69</w:t>
            </w:r>
          </w:p>
        </w:tc>
      </w:tr>
      <w:tr w:rsidR="0074220D" w:rsidRPr="00D94C4B" w:rsidTr="00F61992">
        <w:trPr>
          <w:trHeight w:val="241"/>
        </w:trPr>
        <w:tc>
          <w:tcPr>
            <w:cnfStyle w:val="001000000000" w:firstRow="0" w:lastRow="0" w:firstColumn="1" w:lastColumn="0" w:oddVBand="0" w:evenVBand="0" w:oddHBand="0" w:evenHBand="0" w:firstRowFirstColumn="0" w:firstRowLastColumn="0" w:lastRowFirstColumn="0" w:lastRowLastColumn="0"/>
            <w:tcW w:w="769" w:type="pct"/>
          </w:tcPr>
          <w:p w:rsidR="0074220D" w:rsidRPr="00D94C4B" w:rsidRDefault="0074220D" w:rsidP="00F61992">
            <w:pPr>
              <w:spacing w:line="276" w:lineRule="auto"/>
              <w:jc w:val="center"/>
              <w:rPr>
                <w:rFonts w:cs="Arial"/>
                <w:color w:val="FF0000"/>
                <w:sz w:val="28"/>
                <w:szCs w:val="28"/>
              </w:rPr>
            </w:pPr>
            <w:r w:rsidRPr="00D94C4B">
              <w:rPr>
                <w:rFonts w:cs="Arial"/>
                <w:color w:val="FF0000"/>
                <w:sz w:val="28"/>
                <w:szCs w:val="28"/>
              </w:rPr>
              <w:t>2019</w:t>
            </w:r>
          </w:p>
        </w:tc>
        <w:tc>
          <w:tcPr>
            <w:tcW w:w="1896"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 w:val="28"/>
                <w:szCs w:val="28"/>
              </w:rPr>
            </w:pPr>
            <w:r w:rsidRPr="00D94C4B">
              <w:rPr>
                <w:rFonts w:cs="Arial"/>
                <w:b/>
                <w:color w:val="002060"/>
                <w:sz w:val="28"/>
                <w:szCs w:val="28"/>
              </w:rPr>
              <w:t>11,85</w:t>
            </w:r>
          </w:p>
        </w:tc>
        <w:tc>
          <w:tcPr>
            <w:tcW w:w="2335" w:type="pct"/>
          </w:tcPr>
          <w:p w:rsidR="0074220D" w:rsidRPr="00D94C4B" w:rsidRDefault="0074220D" w:rsidP="00F6199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 w:val="28"/>
                <w:szCs w:val="28"/>
              </w:rPr>
            </w:pPr>
            <w:r w:rsidRPr="00D94C4B">
              <w:rPr>
                <w:rFonts w:cs="Arial"/>
                <w:b/>
                <w:color w:val="FF0000"/>
                <w:sz w:val="28"/>
                <w:szCs w:val="28"/>
              </w:rPr>
              <w:t>*2,55</w:t>
            </w:r>
          </w:p>
        </w:tc>
      </w:tr>
    </w:tbl>
    <w:p w:rsidR="0074220D" w:rsidRPr="00D94C4B" w:rsidRDefault="0074220D" w:rsidP="0074220D">
      <w:pPr>
        <w:spacing w:line="276" w:lineRule="auto"/>
        <w:rPr>
          <w:rFonts w:cs="Arial"/>
          <w:b/>
          <w:color w:val="FF0000"/>
        </w:rPr>
      </w:pPr>
      <w:r w:rsidRPr="00D94C4B">
        <w:rPr>
          <w:rFonts w:cs="Arial"/>
          <w:b/>
          <w:color w:val="FF0000"/>
        </w:rPr>
        <w:t>*2009 Bazlı Yeni Milli Gelir Serisine Göre Hesaplanmıştır.</w:t>
      </w:r>
    </w:p>
    <w:p w:rsidR="0074220D" w:rsidRPr="005C4D40" w:rsidRDefault="0074220D" w:rsidP="0074220D">
      <w:pPr>
        <w:spacing w:before="120" w:line="360" w:lineRule="auto"/>
        <w:rPr>
          <w:sz w:val="24"/>
          <w:szCs w:val="24"/>
        </w:rPr>
      </w:pPr>
      <w:r w:rsidRPr="005C4D40">
        <w:rPr>
          <w:sz w:val="24"/>
          <w:szCs w:val="24"/>
        </w:rPr>
        <w:t>Eğitime ayrılan bütçenin çok fazla arttırıldığı söylense de, önceki yıla göre MEB bütçesinin Merkezi Yönetim Bütçesi içerisindeki payının oranı son dört yıldır azalmaktadır. GSYH’ye oranı da aynı şekilde son dört yıldır azalmaktadır.</w:t>
      </w:r>
    </w:p>
    <w:p w:rsidR="0074220D" w:rsidRDefault="0074220D" w:rsidP="0074220D">
      <w:pPr>
        <w:spacing w:before="120" w:line="360" w:lineRule="auto"/>
        <w:rPr>
          <w:sz w:val="24"/>
          <w:szCs w:val="24"/>
        </w:rPr>
      </w:pPr>
      <w:r w:rsidRPr="005C4D40">
        <w:rPr>
          <w:sz w:val="24"/>
          <w:szCs w:val="24"/>
        </w:rPr>
        <w:t>Milli Eğitim Bakanlığının bütçesinin rakamsal büyüklüğünün nedeni personel giderleri, sosyal güvenlik kurumlarına yapılan ödemeler ve zorunlu cari ödemelerden kaynaklanmaktadır.</w:t>
      </w:r>
    </w:p>
    <w:p w:rsidR="0074220D" w:rsidRPr="00D94C4B" w:rsidRDefault="0074220D" w:rsidP="0074220D">
      <w:pPr>
        <w:spacing w:before="120" w:line="276" w:lineRule="auto"/>
        <w:rPr>
          <w:rFonts w:cs="Arial"/>
          <w:b/>
          <w:sz w:val="28"/>
          <w:szCs w:val="28"/>
        </w:rPr>
      </w:pPr>
      <w:r w:rsidRPr="00D94C4B">
        <w:rPr>
          <w:rFonts w:cs="Arial"/>
          <w:b/>
          <w:sz w:val="28"/>
          <w:szCs w:val="28"/>
        </w:rPr>
        <w:t>Grafik 1: MEB Yatırım Bütçesi</w:t>
      </w:r>
    </w:p>
    <w:p w:rsidR="0074220D" w:rsidRDefault="0074220D" w:rsidP="0074220D">
      <w:pPr>
        <w:spacing w:before="120" w:line="360" w:lineRule="auto"/>
        <w:rPr>
          <w:sz w:val="24"/>
          <w:szCs w:val="24"/>
        </w:rPr>
      </w:pPr>
    </w:p>
    <w:p w:rsidR="0074220D" w:rsidRDefault="0074220D" w:rsidP="0074220D">
      <w:pPr>
        <w:spacing w:before="120" w:line="360" w:lineRule="auto"/>
        <w:rPr>
          <w:color w:val="C00000"/>
          <w:sz w:val="24"/>
          <w:szCs w:val="24"/>
        </w:rPr>
      </w:pPr>
      <w:r w:rsidRPr="00D94C4B">
        <w:rPr>
          <w:noProof/>
          <w:sz w:val="28"/>
          <w:szCs w:val="28"/>
        </w:rPr>
        <w:drawing>
          <wp:inline distT="0" distB="0" distL="0" distR="0" wp14:anchorId="12208377" wp14:editId="04601465">
            <wp:extent cx="5760720" cy="3517531"/>
            <wp:effectExtent l="0" t="0" r="11430" b="698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20D" w:rsidRDefault="0074220D" w:rsidP="0074220D">
      <w:pPr>
        <w:spacing w:before="120" w:line="360" w:lineRule="auto"/>
        <w:rPr>
          <w:color w:val="C00000"/>
          <w:sz w:val="24"/>
          <w:szCs w:val="24"/>
        </w:rPr>
      </w:pPr>
    </w:p>
    <w:p w:rsidR="0074220D" w:rsidRDefault="0074220D" w:rsidP="0074220D">
      <w:pPr>
        <w:spacing w:before="120" w:line="276" w:lineRule="auto"/>
        <w:rPr>
          <w:rFonts w:cs="Arial"/>
          <w:b/>
          <w:sz w:val="28"/>
          <w:szCs w:val="28"/>
        </w:rPr>
      </w:pPr>
    </w:p>
    <w:p w:rsidR="0074220D" w:rsidRDefault="0074220D" w:rsidP="0074220D">
      <w:pPr>
        <w:spacing w:before="120" w:line="276" w:lineRule="auto"/>
        <w:rPr>
          <w:rFonts w:cs="Arial"/>
          <w:b/>
          <w:sz w:val="28"/>
          <w:szCs w:val="28"/>
        </w:rPr>
      </w:pPr>
    </w:p>
    <w:p w:rsidR="0074220D" w:rsidRPr="005C4D40" w:rsidRDefault="0074220D" w:rsidP="0074220D">
      <w:pPr>
        <w:spacing w:before="120" w:line="276" w:lineRule="auto"/>
        <w:jc w:val="center"/>
        <w:rPr>
          <w:rFonts w:cs="Arial"/>
          <w:b/>
          <w:sz w:val="28"/>
          <w:szCs w:val="28"/>
        </w:rPr>
      </w:pPr>
      <w:r w:rsidRPr="005C4D40">
        <w:rPr>
          <w:rFonts w:cs="Arial"/>
          <w:b/>
          <w:sz w:val="28"/>
          <w:szCs w:val="28"/>
        </w:rPr>
        <w:t>AKP EĞİTİME YATIRIMDAN VAZGEÇTİ</w:t>
      </w:r>
    </w:p>
    <w:p w:rsidR="0074220D" w:rsidRPr="005C4D40" w:rsidRDefault="0074220D" w:rsidP="0074220D">
      <w:pPr>
        <w:spacing w:before="120" w:line="360" w:lineRule="auto"/>
        <w:ind w:firstLine="708"/>
        <w:rPr>
          <w:sz w:val="24"/>
          <w:szCs w:val="24"/>
        </w:rPr>
      </w:pPr>
      <w:r w:rsidRPr="005C4D40">
        <w:rPr>
          <w:sz w:val="24"/>
          <w:szCs w:val="24"/>
        </w:rPr>
        <w:t xml:space="preserve">AKP’nin iktidara geldiği 2002 yılında MEB bütçesinden eğitim yatırımlarına ayrılan pay </w:t>
      </w:r>
      <w:r w:rsidRPr="005C4D40">
        <w:rPr>
          <w:b/>
          <w:sz w:val="24"/>
          <w:szCs w:val="24"/>
        </w:rPr>
        <w:t>% 17,18</w:t>
      </w:r>
      <w:r w:rsidRPr="005C4D40">
        <w:rPr>
          <w:sz w:val="24"/>
          <w:szCs w:val="24"/>
        </w:rPr>
        <w:t xml:space="preserve"> iken, 2019 yılı itibariyle bu oran </w:t>
      </w:r>
      <w:r w:rsidRPr="005C4D40">
        <w:rPr>
          <w:b/>
          <w:sz w:val="24"/>
          <w:szCs w:val="24"/>
        </w:rPr>
        <w:t>% 4,88’e</w:t>
      </w:r>
      <w:r w:rsidRPr="005C4D40">
        <w:rPr>
          <w:sz w:val="24"/>
          <w:szCs w:val="24"/>
        </w:rPr>
        <w:t xml:space="preserve"> gerilemiştir. Milli Eğitim Bakanlığı bütçesinden yatırımlara ayrılan pay AKP iktidarı döneminde sürekli azalma eğilimi göstermiştir. 2019 yılında MEB bütçesinden eğitim yatırımlarına ayrılan pay 16 yıllık AKP iktidarı döneminde neredeyse en düşük seviyeye gerilemiştir.</w:t>
      </w:r>
    </w:p>
    <w:p w:rsidR="0074220D" w:rsidRPr="005C4D40" w:rsidRDefault="0074220D" w:rsidP="0074220D">
      <w:pPr>
        <w:spacing w:before="120" w:line="360" w:lineRule="auto"/>
        <w:ind w:firstLine="708"/>
        <w:rPr>
          <w:sz w:val="24"/>
          <w:szCs w:val="24"/>
        </w:rPr>
      </w:pPr>
      <w:r w:rsidRPr="005C4D40">
        <w:rPr>
          <w:sz w:val="24"/>
          <w:szCs w:val="24"/>
        </w:rPr>
        <w:t>Eğitim yatırımlarına ayrılan pay AKP’nin gerçek eğitim politikasını ortaya koymaktadır. Son 16 yılda özel okullara sürekli destek verilirken, devlet okulları kendi sorunları ile baş başa bırakılmıştır.</w:t>
      </w:r>
    </w:p>
    <w:p w:rsidR="0074220D" w:rsidRPr="005C4D40" w:rsidRDefault="0074220D" w:rsidP="0074220D">
      <w:pPr>
        <w:spacing w:before="120" w:line="276" w:lineRule="auto"/>
        <w:rPr>
          <w:b/>
          <w:sz w:val="24"/>
          <w:szCs w:val="24"/>
        </w:rPr>
      </w:pPr>
      <w:r w:rsidRPr="005C4D40">
        <w:rPr>
          <w:b/>
          <w:sz w:val="24"/>
          <w:szCs w:val="24"/>
        </w:rPr>
        <w:t>Aşağıdaki grafikte Milli Eğitim Bakanlığı 2019 yılı bütçesinin gider dağılımı verilmiştir.</w:t>
      </w:r>
    </w:p>
    <w:p w:rsidR="0074220D" w:rsidRPr="00D94C4B" w:rsidRDefault="0074220D" w:rsidP="0074220D">
      <w:pPr>
        <w:spacing w:before="120" w:line="276" w:lineRule="auto"/>
        <w:rPr>
          <w:rFonts w:cs="Arial"/>
          <w:b/>
          <w:sz w:val="28"/>
          <w:szCs w:val="28"/>
        </w:rPr>
      </w:pPr>
      <w:r w:rsidRPr="00D94C4B">
        <w:rPr>
          <w:rFonts w:cs="Arial"/>
          <w:b/>
          <w:sz w:val="28"/>
          <w:szCs w:val="28"/>
        </w:rPr>
        <w:t>Grafik 2: MEB Bütçesi</w:t>
      </w:r>
    </w:p>
    <w:p w:rsidR="0074220D" w:rsidRPr="00D94C4B" w:rsidRDefault="0074220D" w:rsidP="0074220D">
      <w:pPr>
        <w:spacing w:before="120" w:line="276" w:lineRule="auto"/>
        <w:rPr>
          <w:rFonts w:cs="Arial"/>
          <w:b/>
          <w:sz w:val="28"/>
          <w:szCs w:val="28"/>
        </w:rPr>
      </w:pPr>
      <w:r w:rsidRPr="00D94C4B">
        <w:rPr>
          <w:rFonts w:cs="Arial"/>
          <w:b/>
          <w:noProof/>
          <w:sz w:val="28"/>
          <w:szCs w:val="28"/>
        </w:rPr>
        <w:drawing>
          <wp:inline distT="0" distB="0" distL="0" distR="0" wp14:anchorId="74FB27F3" wp14:editId="62389D7F">
            <wp:extent cx="6048375" cy="34480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3448050"/>
                    </a:xfrm>
                    <a:prstGeom prst="rect">
                      <a:avLst/>
                    </a:prstGeom>
                    <a:noFill/>
                  </pic:spPr>
                </pic:pic>
              </a:graphicData>
            </a:graphic>
          </wp:inline>
        </w:drawing>
      </w:r>
    </w:p>
    <w:p w:rsidR="0074220D" w:rsidRDefault="0074220D" w:rsidP="0074220D">
      <w:pPr>
        <w:spacing w:before="120" w:line="360" w:lineRule="auto"/>
        <w:rPr>
          <w:sz w:val="24"/>
          <w:szCs w:val="24"/>
        </w:rPr>
      </w:pPr>
      <w:r w:rsidRPr="005C4D40">
        <w:rPr>
          <w:sz w:val="24"/>
          <w:szCs w:val="24"/>
        </w:rPr>
        <w:t xml:space="preserve">2019 yılı için MEB bütçesinin 113 milyar 813 milyon TL olması öngörülmüştür. </w:t>
      </w:r>
      <w:r w:rsidRPr="005C4D40">
        <w:rPr>
          <w:b/>
          <w:sz w:val="24"/>
          <w:szCs w:val="24"/>
        </w:rPr>
        <w:t>MEB bütçesinin yüzde 72’si personel giderleri, yüzde 11’i sosyal güvenlik devlet primi giderleri olmak üzere, toplamda yüzde 83’ü doğrudan doğruya personel harcamaları için kullanılmaktadır.</w:t>
      </w:r>
      <w:r w:rsidRPr="005C4D40">
        <w:rPr>
          <w:b/>
          <w:sz w:val="24"/>
          <w:szCs w:val="24"/>
          <w:vertAlign w:val="superscript"/>
        </w:rPr>
        <w:footnoteReference w:id="1"/>
      </w:r>
      <w:r w:rsidRPr="005C4D40">
        <w:rPr>
          <w:sz w:val="24"/>
          <w:szCs w:val="24"/>
        </w:rPr>
        <w:t xml:space="preserve">  Geçtiğimiz yıl %80 pay ayrılan personel giderlerine 2019 yılında </w:t>
      </w:r>
      <w:r w:rsidRPr="005C4D40">
        <w:rPr>
          <w:sz w:val="24"/>
          <w:szCs w:val="24"/>
        </w:rPr>
        <w:lastRenderedPageBreak/>
        <w:t xml:space="preserve">%83 pay ayrılması öngörülmüştür. Eğitim bütçesi yıllar içinde rakamsal olarak artıyor gibi görünse de personel giderlerinin bütçenin %83’ünü kapsaması, eşit eğitim imkânına erişmeyi engelleyecek önemli bir faktör olarak ortaya çıkmaktadır. </w:t>
      </w:r>
    </w:p>
    <w:p w:rsidR="0074220D" w:rsidRPr="005C4D40" w:rsidRDefault="0074220D" w:rsidP="0074220D">
      <w:pPr>
        <w:spacing w:before="120" w:line="360" w:lineRule="auto"/>
        <w:rPr>
          <w:sz w:val="24"/>
          <w:szCs w:val="24"/>
        </w:rPr>
      </w:pPr>
    </w:p>
    <w:p w:rsidR="0074220D" w:rsidRPr="00B8751C" w:rsidRDefault="0074220D" w:rsidP="0074220D">
      <w:pPr>
        <w:pStyle w:val="Balk1"/>
        <w:spacing w:line="360" w:lineRule="auto"/>
        <w:rPr>
          <w:rFonts w:ascii="Times New Roman" w:hAnsi="Times New Roman" w:cs="Times New Roman"/>
          <w:b w:val="0"/>
          <w:sz w:val="24"/>
          <w:szCs w:val="24"/>
        </w:rPr>
      </w:pPr>
      <w:bookmarkStart w:id="1" w:name="_Toc528687147"/>
      <w:r w:rsidRPr="00B8751C">
        <w:rPr>
          <w:rFonts w:ascii="Times New Roman" w:hAnsi="Times New Roman" w:cs="Times New Roman"/>
          <w:sz w:val="24"/>
          <w:szCs w:val="24"/>
        </w:rPr>
        <w:t>YÜKSEKÖĞRETİM (YÖK VE ÜNİVERSİTELER)  KURUMLARI BÜTÇESİ</w:t>
      </w:r>
      <w:bookmarkEnd w:id="1"/>
    </w:p>
    <w:p w:rsidR="0074220D" w:rsidRDefault="0074220D" w:rsidP="0074220D">
      <w:pPr>
        <w:spacing w:before="120" w:line="360" w:lineRule="auto"/>
        <w:rPr>
          <w:sz w:val="24"/>
          <w:szCs w:val="24"/>
        </w:rPr>
      </w:pPr>
    </w:p>
    <w:p w:rsidR="0074220D" w:rsidRPr="00B8751C" w:rsidRDefault="0074220D" w:rsidP="0074220D">
      <w:pPr>
        <w:spacing w:before="120" w:line="360" w:lineRule="auto"/>
        <w:rPr>
          <w:sz w:val="24"/>
          <w:szCs w:val="24"/>
        </w:rPr>
      </w:pPr>
      <w:r w:rsidRPr="00B8751C">
        <w:rPr>
          <w:sz w:val="24"/>
          <w:szCs w:val="24"/>
        </w:rPr>
        <w:t>Gecekondu yapar gibi her ile bir üniversite açan AKP iktidarı üniversitelere de genel bütçeden yeterli payı ayırmamıştır. 2019 yılı bütçesinde Yükseköğretim Kurumu ve üniversitelerin bütçelerinin toplamının 33.023.355.000 TL olması öngörülmüştür.</w:t>
      </w:r>
    </w:p>
    <w:p w:rsidR="0074220D" w:rsidRPr="00B8751C" w:rsidRDefault="0074220D" w:rsidP="0074220D">
      <w:pPr>
        <w:spacing w:before="120" w:line="360" w:lineRule="auto"/>
        <w:rPr>
          <w:b/>
          <w:sz w:val="24"/>
          <w:szCs w:val="24"/>
        </w:rPr>
      </w:pPr>
    </w:p>
    <w:p w:rsidR="0074220D" w:rsidRPr="00B8751C" w:rsidRDefault="0074220D" w:rsidP="0074220D">
      <w:pPr>
        <w:spacing w:line="360" w:lineRule="auto"/>
        <w:jc w:val="center"/>
        <w:rPr>
          <w:b/>
          <w:sz w:val="24"/>
          <w:szCs w:val="24"/>
        </w:rPr>
      </w:pPr>
      <w:r w:rsidRPr="00B8751C">
        <w:rPr>
          <w:b/>
          <w:sz w:val="24"/>
          <w:szCs w:val="24"/>
        </w:rPr>
        <w:t>Tablo 5:</w:t>
      </w:r>
      <w:r w:rsidRPr="00B8751C">
        <w:rPr>
          <w:sz w:val="24"/>
          <w:szCs w:val="24"/>
        </w:rPr>
        <w:t xml:space="preserve"> </w:t>
      </w:r>
      <w:r w:rsidRPr="00B8751C">
        <w:rPr>
          <w:b/>
          <w:sz w:val="24"/>
          <w:szCs w:val="24"/>
        </w:rPr>
        <w:t>YÖK ve Üniversite Bütçelerinin Merkezi Yönetim Bütçesi İçindeki Payı ve GSYH’ye Oranı (2002-2018)</w:t>
      </w:r>
    </w:p>
    <w:tbl>
      <w:tblPr>
        <w:tblStyle w:val="KlavuzTablo1Ak-Vurgu5"/>
        <w:tblpPr w:leftFromText="141" w:rightFromText="141" w:vertAnchor="text" w:horzAnchor="margin" w:tblpY="258"/>
        <w:tblW w:w="9284" w:type="dxa"/>
        <w:tblLook w:val="04A0" w:firstRow="1" w:lastRow="0" w:firstColumn="1" w:lastColumn="0" w:noHBand="0" w:noVBand="1"/>
      </w:tblPr>
      <w:tblGrid>
        <w:gridCol w:w="1525"/>
        <w:gridCol w:w="2125"/>
        <w:gridCol w:w="7"/>
        <w:gridCol w:w="2117"/>
        <w:gridCol w:w="1946"/>
        <w:gridCol w:w="1564"/>
      </w:tblGrid>
      <w:tr w:rsidR="0074220D" w:rsidRPr="00DD4F9B" w:rsidTr="00F61992">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525" w:type="dxa"/>
            <w:vMerge w:val="restart"/>
            <w:hideMark/>
          </w:tcPr>
          <w:p w:rsidR="0074220D" w:rsidRPr="00DD4F9B" w:rsidRDefault="0074220D" w:rsidP="00F61992">
            <w:pPr>
              <w:spacing w:after="160" w:line="276" w:lineRule="auto"/>
              <w:rPr>
                <w:rFonts w:cs="Arial"/>
                <w:color w:val="FF0000"/>
                <w:kern w:val="36"/>
                <w:szCs w:val="24"/>
              </w:rPr>
            </w:pPr>
            <w:r w:rsidRPr="00DD4F9B">
              <w:rPr>
                <w:rFonts w:cs="Arial"/>
                <w:color w:val="FF0000"/>
                <w:kern w:val="36"/>
                <w:szCs w:val="24"/>
              </w:rPr>
              <w:t xml:space="preserve">   </w:t>
            </w:r>
          </w:p>
          <w:p w:rsidR="0074220D" w:rsidRPr="00DD4F9B" w:rsidRDefault="0074220D" w:rsidP="00F61992">
            <w:pPr>
              <w:spacing w:after="160" w:line="276" w:lineRule="auto"/>
              <w:rPr>
                <w:rFonts w:cs="Arial"/>
                <w:color w:val="FF0000"/>
                <w:kern w:val="36"/>
                <w:szCs w:val="24"/>
              </w:rPr>
            </w:pPr>
          </w:p>
          <w:p w:rsidR="0074220D" w:rsidRPr="00DD4F9B" w:rsidRDefault="0074220D" w:rsidP="00F61992">
            <w:pPr>
              <w:spacing w:after="160" w:line="276" w:lineRule="auto"/>
              <w:jc w:val="center"/>
              <w:rPr>
                <w:rFonts w:cs="Arial"/>
                <w:color w:val="FF0000"/>
                <w:kern w:val="36"/>
                <w:szCs w:val="24"/>
              </w:rPr>
            </w:pPr>
            <w:r w:rsidRPr="00DD4F9B">
              <w:rPr>
                <w:rFonts w:cs="Arial"/>
                <w:color w:val="FF0000"/>
                <w:kern w:val="36"/>
                <w:szCs w:val="24"/>
              </w:rPr>
              <w:t>Yıllar</w:t>
            </w:r>
          </w:p>
        </w:tc>
        <w:tc>
          <w:tcPr>
            <w:tcW w:w="4249" w:type="dxa"/>
            <w:gridSpan w:val="3"/>
            <w:hideMark/>
          </w:tcPr>
          <w:p w:rsidR="0074220D" w:rsidRPr="00DD4F9B" w:rsidRDefault="0074220D" w:rsidP="00F61992">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kern w:val="36"/>
                <w:szCs w:val="24"/>
              </w:rPr>
              <w:t>YÖK ve Üniversite Bütçeleri</w:t>
            </w:r>
          </w:p>
        </w:tc>
        <w:tc>
          <w:tcPr>
            <w:tcW w:w="1946" w:type="dxa"/>
            <w:vMerge w:val="restart"/>
          </w:tcPr>
          <w:p w:rsidR="0074220D" w:rsidRPr="00DD4F9B" w:rsidRDefault="0074220D" w:rsidP="00F61992">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kern w:val="36"/>
                <w:szCs w:val="24"/>
              </w:rPr>
            </w:pPr>
            <w:r w:rsidRPr="00DD4F9B">
              <w:rPr>
                <w:rFonts w:cs="Arial"/>
                <w:color w:val="FF0000"/>
                <w:kern w:val="36"/>
                <w:szCs w:val="24"/>
              </w:rPr>
              <w:t>Devlet Üniversitelerinin Sayısı</w:t>
            </w:r>
          </w:p>
        </w:tc>
        <w:tc>
          <w:tcPr>
            <w:tcW w:w="1564" w:type="dxa"/>
            <w:vMerge w:val="restart"/>
          </w:tcPr>
          <w:p w:rsidR="0074220D" w:rsidRPr="00DD4F9B" w:rsidRDefault="0074220D" w:rsidP="00F61992">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cs="Arial"/>
                <w:color w:val="FF0000"/>
                <w:kern w:val="36"/>
                <w:szCs w:val="24"/>
              </w:rPr>
            </w:pPr>
            <w:r w:rsidRPr="00DD4F9B">
              <w:rPr>
                <w:rFonts w:cs="Arial"/>
                <w:color w:val="FF0000"/>
                <w:kern w:val="36"/>
                <w:szCs w:val="24"/>
              </w:rPr>
              <w:t>Öğrenci Sayısı/Devlet</w:t>
            </w:r>
          </w:p>
        </w:tc>
      </w:tr>
      <w:tr w:rsidR="0074220D" w:rsidRPr="00DD4F9B" w:rsidTr="00F61992">
        <w:trPr>
          <w:trHeight w:val="363"/>
        </w:trPr>
        <w:tc>
          <w:tcPr>
            <w:cnfStyle w:val="001000000000" w:firstRow="0" w:lastRow="0" w:firstColumn="1" w:lastColumn="0" w:oddVBand="0" w:evenVBand="0" w:oddHBand="0" w:evenHBand="0" w:firstRowFirstColumn="0" w:firstRowLastColumn="0" w:lastRowFirstColumn="0" w:lastRowLastColumn="0"/>
            <w:tcW w:w="1525" w:type="dxa"/>
            <w:vMerge/>
          </w:tcPr>
          <w:p w:rsidR="0074220D" w:rsidRPr="00DD4F9B" w:rsidRDefault="0074220D" w:rsidP="00F61992">
            <w:pPr>
              <w:spacing w:after="160" w:line="276" w:lineRule="auto"/>
              <w:rPr>
                <w:rFonts w:cs="Arial"/>
                <w:color w:val="FF0000"/>
                <w:kern w:val="36"/>
                <w:szCs w:val="24"/>
              </w:rPr>
            </w:pPr>
          </w:p>
        </w:tc>
        <w:tc>
          <w:tcPr>
            <w:tcW w:w="2125"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bCs/>
                <w:kern w:val="36"/>
                <w:szCs w:val="24"/>
              </w:rPr>
            </w:pPr>
            <w:r w:rsidRPr="00DD4F9B">
              <w:rPr>
                <w:rFonts w:cs="Arial"/>
                <w:b/>
                <w:bCs/>
                <w:kern w:val="36"/>
                <w:szCs w:val="24"/>
              </w:rPr>
              <w:t>Merkezi Yönetim Bütçesi İçindeki Payı (%)</w:t>
            </w:r>
          </w:p>
        </w:tc>
        <w:tc>
          <w:tcPr>
            <w:tcW w:w="2124" w:type="dxa"/>
            <w:gridSpan w:val="2"/>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bCs/>
                <w:kern w:val="36"/>
                <w:szCs w:val="24"/>
              </w:rPr>
            </w:pPr>
            <w:r w:rsidRPr="00DD4F9B">
              <w:rPr>
                <w:rFonts w:cs="Arial"/>
                <w:b/>
                <w:bCs/>
                <w:kern w:val="36"/>
                <w:szCs w:val="24"/>
              </w:rPr>
              <w:t>GSYH’ye Oranı</w:t>
            </w:r>
          </w:p>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bCs/>
                <w:kern w:val="36"/>
                <w:szCs w:val="24"/>
              </w:rPr>
            </w:pPr>
            <w:r w:rsidRPr="00DD4F9B">
              <w:rPr>
                <w:rFonts w:cs="Arial"/>
                <w:b/>
                <w:bCs/>
                <w:kern w:val="36"/>
                <w:szCs w:val="24"/>
              </w:rPr>
              <w:t>(%)</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bCs/>
                <w:kern w:val="36"/>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bCs/>
                <w:kern w:val="36"/>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2003</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2,27</w:t>
            </w:r>
          </w:p>
        </w:tc>
        <w:tc>
          <w:tcPr>
            <w:tcW w:w="2117" w:type="dxa"/>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0,94</w:t>
            </w:r>
          </w:p>
        </w:tc>
        <w:tc>
          <w:tcPr>
            <w:tcW w:w="1946"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53</w:t>
            </w:r>
          </w:p>
        </w:tc>
        <w:tc>
          <w:tcPr>
            <w:tcW w:w="1564"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1.821.205</w:t>
            </w: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2004</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2,45</w:t>
            </w:r>
          </w:p>
        </w:tc>
        <w:tc>
          <w:tcPr>
            <w:tcW w:w="2117" w:type="dxa"/>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0,86</w:t>
            </w:r>
          </w:p>
        </w:tc>
        <w:tc>
          <w:tcPr>
            <w:tcW w:w="1946" w:type="dxa"/>
            <w:vMerge w:val="restart"/>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val="restart"/>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2005</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3,34</w:t>
            </w:r>
          </w:p>
        </w:tc>
        <w:tc>
          <w:tcPr>
            <w:tcW w:w="2117" w:type="dxa"/>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1,07</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2006</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3,35</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*0,74</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2007</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3,21</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*0,75</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2008</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3,29</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*0,73</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2009</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3,33</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*0,88</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2010</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3,24</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*0,80</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2011</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3,68</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*0,82</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2012</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3,63</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*0,81</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2013</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3,77</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*0,84</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2014</w:t>
            </w:r>
          </w:p>
        </w:tc>
        <w:tc>
          <w:tcPr>
            <w:tcW w:w="2132" w:type="dxa"/>
            <w:gridSpan w:val="2"/>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3,88</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*0,83</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2015</w:t>
            </w:r>
          </w:p>
        </w:tc>
        <w:tc>
          <w:tcPr>
            <w:tcW w:w="2132" w:type="dxa"/>
            <w:gridSpan w:val="2"/>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3,91</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*0,79</w:t>
            </w:r>
          </w:p>
        </w:tc>
        <w:tc>
          <w:tcPr>
            <w:tcW w:w="1946"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hideMark/>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2016</w:t>
            </w:r>
          </w:p>
        </w:tc>
        <w:tc>
          <w:tcPr>
            <w:tcW w:w="2132" w:type="dxa"/>
            <w:gridSpan w:val="2"/>
            <w:hideMark/>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4,13</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DD4F9B">
              <w:rPr>
                <w:rFonts w:cs="Arial"/>
                <w:color w:val="FF0000"/>
                <w:szCs w:val="24"/>
              </w:rPr>
              <w:t>*0,90</w:t>
            </w:r>
          </w:p>
        </w:tc>
        <w:tc>
          <w:tcPr>
            <w:tcW w:w="1946"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r w:rsidRPr="00DD4F9B">
              <w:rPr>
                <w:rFonts w:cs="Arial"/>
                <w:color w:val="002060"/>
                <w:szCs w:val="24"/>
              </w:rPr>
              <w:t>114</w:t>
            </w: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2017</w:t>
            </w:r>
          </w:p>
        </w:tc>
        <w:tc>
          <w:tcPr>
            <w:tcW w:w="2132" w:type="dxa"/>
            <w:gridSpan w:val="2"/>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4,10</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Cs w:val="24"/>
              </w:rPr>
            </w:pPr>
            <w:r w:rsidRPr="00DD4F9B">
              <w:rPr>
                <w:rFonts w:cs="Arial"/>
                <w:b/>
                <w:color w:val="FF0000"/>
                <w:szCs w:val="24"/>
              </w:rPr>
              <w:t>*0,84</w:t>
            </w:r>
          </w:p>
        </w:tc>
        <w:tc>
          <w:tcPr>
            <w:tcW w:w="1946"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117</w:t>
            </w:r>
          </w:p>
        </w:tc>
        <w:tc>
          <w:tcPr>
            <w:tcW w:w="1564" w:type="dxa"/>
            <w:vMerge/>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lastRenderedPageBreak/>
              <w:t>2018</w:t>
            </w:r>
          </w:p>
        </w:tc>
        <w:tc>
          <w:tcPr>
            <w:tcW w:w="2132" w:type="dxa"/>
            <w:gridSpan w:val="2"/>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3,63</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Cs w:val="24"/>
              </w:rPr>
            </w:pPr>
            <w:r w:rsidRPr="00DD4F9B">
              <w:rPr>
                <w:rFonts w:cs="Arial"/>
                <w:b/>
                <w:color w:val="FF0000"/>
                <w:szCs w:val="24"/>
              </w:rPr>
              <w:t>*0,79</w:t>
            </w:r>
          </w:p>
        </w:tc>
        <w:tc>
          <w:tcPr>
            <w:tcW w:w="1946"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112</w:t>
            </w:r>
          </w:p>
        </w:tc>
        <w:tc>
          <w:tcPr>
            <w:tcW w:w="1564"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3.245.373</w:t>
            </w:r>
          </w:p>
        </w:tc>
      </w:tr>
      <w:tr w:rsidR="0074220D" w:rsidRPr="00DD4F9B" w:rsidTr="00F61992">
        <w:trPr>
          <w:trHeight w:val="351"/>
        </w:trPr>
        <w:tc>
          <w:tcPr>
            <w:cnfStyle w:val="001000000000" w:firstRow="0" w:lastRow="0" w:firstColumn="1" w:lastColumn="0" w:oddVBand="0" w:evenVBand="0" w:oddHBand="0" w:evenHBand="0" w:firstRowFirstColumn="0" w:firstRowLastColumn="0" w:lastRowFirstColumn="0" w:lastRowLastColumn="0"/>
            <w:tcW w:w="1525" w:type="dxa"/>
          </w:tcPr>
          <w:p w:rsidR="0074220D" w:rsidRPr="00DD4F9B" w:rsidRDefault="0074220D" w:rsidP="00F61992">
            <w:pPr>
              <w:spacing w:after="160" w:line="276" w:lineRule="auto"/>
              <w:jc w:val="center"/>
              <w:rPr>
                <w:rFonts w:cs="Arial"/>
                <w:color w:val="002060"/>
                <w:szCs w:val="24"/>
              </w:rPr>
            </w:pPr>
            <w:r w:rsidRPr="00DD4F9B">
              <w:rPr>
                <w:rFonts w:cs="Arial"/>
                <w:color w:val="002060"/>
                <w:szCs w:val="24"/>
              </w:rPr>
              <w:t>2019*</w:t>
            </w:r>
          </w:p>
        </w:tc>
        <w:tc>
          <w:tcPr>
            <w:tcW w:w="2132" w:type="dxa"/>
            <w:gridSpan w:val="2"/>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Pr>
                <w:rFonts w:cs="Arial"/>
                <w:b/>
                <w:color w:val="002060"/>
                <w:szCs w:val="24"/>
              </w:rPr>
              <w:t>*</w:t>
            </w:r>
            <w:r w:rsidRPr="00DD4F9B">
              <w:rPr>
                <w:rFonts w:cs="Arial"/>
                <w:b/>
                <w:color w:val="002060"/>
                <w:szCs w:val="24"/>
              </w:rPr>
              <w:t>3,43</w:t>
            </w:r>
          </w:p>
        </w:tc>
        <w:tc>
          <w:tcPr>
            <w:tcW w:w="2117"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FF0000"/>
                <w:szCs w:val="24"/>
              </w:rPr>
            </w:pPr>
            <w:r>
              <w:rPr>
                <w:rFonts w:cs="Arial"/>
                <w:b/>
                <w:color w:val="FF0000"/>
                <w:szCs w:val="24"/>
              </w:rPr>
              <w:t>*</w:t>
            </w:r>
            <w:r w:rsidRPr="00DD4F9B">
              <w:rPr>
                <w:rFonts w:cs="Arial"/>
                <w:b/>
                <w:color w:val="FF0000"/>
                <w:szCs w:val="24"/>
              </w:rPr>
              <w:t>0,74</w:t>
            </w:r>
          </w:p>
        </w:tc>
        <w:tc>
          <w:tcPr>
            <w:tcW w:w="1946"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129</w:t>
            </w:r>
          </w:p>
        </w:tc>
        <w:tc>
          <w:tcPr>
            <w:tcW w:w="1564" w:type="dxa"/>
          </w:tcPr>
          <w:p w:rsidR="0074220D" w:rsidRPr="00DD4F9B" w:rsidRDefault="0074220D" w:rsidP="00F61992">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cs="Arial"/>
                <w:b/>
                <w:color w:val="002060"/>
                <w:szCs w:val="24"/>
              </w:rPr>
            </w:pPr>
            <w:r w:rsidRPr="00DD4F9B">
              <w:rPr>
                <w:rFonts w:cs="Arial"/>
                <w:b/>
                <w:color w:val="002060"/>
                <w:szCs w:val="24"/>
              </w:rPr>
              <w:t>3.305.559</w:t>
            </w:r>
          </w:p>
        </w:tc>
      </w:tr>
    </w:tbl>
    <w:p w:rsidR="0074220D" w:rsidRPr="00DD4F9B" w:rsidRDefault="0074220D" w:rsidP="0074220D">
      <w:pPr>
        <w:spacing w:before="120" w:line="276" w:lineRule="auto"/>
        <w:rPr>
          <w:rFonts w:cs="Arial"/>
          <w:b/>
          <w:color w:val="FF0000"/>
        </w:rPr>
      </w:pPr>
      <w:r w:rsidRPr="00DD4F9B">
        <w:rPr>
          <w:rFonts w:cs="Arial"/>
          <w:b/>
          <w:color w:val="FF0000"/>
        </w:rPr>
        <w:t>*2009 Bazlı Yeni Milli Gelir Serisine Göre Hesaplanmıştır.</w:t>
      </w:r>
    </w:p>
    <w:p w:rsidR="0074220D" w:rsidRDefault="0074220D" w:rsidP="0074220D">
      <w:pPr>
        <w:spacing w:before="120" w:line="360" w:lineRule="auto"/>
        <w:rPr>
          <w:rFonts w:cs="Arial"/>
          <w:b/>
          <w:sz w:val="28"/>
          <w:szCs w:val="28"/>
          <w:u w:val="single"/>
        </w:rPr>
      </w:pPr>
      <w:r w:rsidRPr="00A6495D">
        <w:rPr>
          <w:sz w:val="24"/>
          <w:szCs w:val="24"/>
        </w:rPr>
        <w:t xml:space="preserve">Ülkemizde 129’u devlet, 72’si vakıf, 5’i vakıf Meslek Yüksekokulu olmak üzere toplam 206 yükseköğretim kurumu bulunmaktadır. Tablo 5’e göre, </w:t>
      </w:r>
      <w:r w:rsidRPr="00A6495D">
        <w:rPr>
          <w:b/>
          <w:sz w:val="24"/>
          <w:szCs w:val="24"/>
          <w:u w:val="single"/>
        </w:rPr>
        <w:t>2003 yılından bu yana devlet üniversitelerinin sayısı %143,3,  birinci ve ikinci öğretim öğrenci sayıları ise %81,5 oranında artmıştır. 2018 yılında Merkezi Yönetim Bütçesi içerisinde yüzde 3,63 olan Yükseköğretim bütçesinin payı %3,43’e, GSYH içerisindeki payı ise %0,79’dan %0,74’e gerilemiştir</w:t>
      </w:r>
      <w:r>
        <w:rPr>
          <w:rFonts w:cs="Arial"/>
          <w:b/>
          <w:sz w:val="28"/>
          <w:szCs w:val="28"/>
          <w:u w:val="single"/>
        </w:rPr>
        <w:t>.</w:t>
      </w:r>
    </w:p>
    <w:p w:rsidR="0074220D" w:rsidRPr="005C4D40" w:rsidRDefault="0074220D" w:rsidP="0074220D">
      <w:pPr>
        <w:spacing w:before="120" w:line="360" w:lineRule="auto"/>
        <w:rPr>
          <w:sz w:val="24"/>
          <w:szCs w:val="24"/>
        </w:rPr>
      </w:pPr>
    </w:p>
    <w:p w:rsidR="0074220D" w:rsidRPr="00A6495D" w:rsidRDefault="0074220D" w:rsidP="0074220D">
      <w:pPr>
        <w:pStyle w:val="Balk1"/>
        <w:jc w:val="center"/>
        <w:rPr>
          <w:rFonts w:ascii="Times New Roman" w:eastAsiaTheme="minorHAnsi" w:hAnsi="Times New Roman" w:cs="Times New Roman"/>
          <w:b w:val="0"/>
          <w:sz w:val="24"/>
          <w:szCs w:val="24"/>
          <w:lang w:eastAsia="en-US"/>
        </w:rPr>
      </w:pPr>
      <w:bookmarkStart w:id="2" w:name="_Toc528687148"/>
      <w:r w:rsidRPr="00A6495D">
        <w:rPr>
          <w:rFonts w:ascii="Times New Roman" w:eastAsiaTheme="minorHAnsi" w:hAnsi="Times New Roman" w:cs="Times New Roman"/>
          <w:sz w:val="24"/>
          <w:szCs w:val="24"/>
          <w:lang w:eastAsia="en-US"/>
        </w:rPr>
        <w:t>KREDİ VE YURTLAR GENEL MÜDÜRLÜĞÜ</w:t>
      </w:r>
      <w:bookmarkEnd w:id="2"/>
    </w:p>
    <w:p w:rsidR="0074220D" w:rsidRDefault="0074220D" w:rsidP="0074220D">
      <w:pPr>
        <w:tabs>
          <w:tab w:val="left" w:pos="975"/>
        </w:tabs>
        <w:rPr>
          <w:b/>
          <w:sz w:val="24"/>
          <w:szCs w:val="24"/>
        </w:rPr>
      </w:pPr>
    </w:p>
    <w:p w:rsidR="0074220D" w:rsidRPr="00A6495D" w:rsidRDefault="0074220D" w:rsidP="0074220D">
      <w:pPr>
        <w:tabs>
          <w:tab w:val="left" w:pos="975"/>
        </w:tabs>
        <w:rPr>
          <w:b/>
          <w:sz w:val="24"/>
          <w:szCs w:val="24"/>
        </w:rPr>
      </w:pPr>
      <w:r w:rsidRPr="00A6495D">
        <w:rPr>
          <w:b/>
          <w:sz w:val="24"/>
          <w:szCs w:val="24"/>
        </w:rPr>
        <w:t>Grafik 6. Kredi ve Yurtlar Kurumu Genel Müdürlüğü</w:t>
      </w:r>
    </w:p>
    <w:p w:rsidR="0074220D" w:rsidRPr="00B7571B" w:rsidRDefault="0074220D" w:rsidP="0074220D">
      <w:pPr>
        <w:tabs>
          <w:tab w:val="left" w:pos="975"/>
        </w:tabs>
        <w:rPr>
          <w:b/>
          <w:sz w:val="28"/>
          <w:szCs w:val="28"/>
        </w:rPr>
      </w:pPr>
      <w:r>
        <w:rPr>
          <w:noProof/>
        </w:rPr>
        <w:drawing>
          <wp:inline distT="0" distB="0" distL="0" distR="0" wp14:anchorId="30FEF3AB" wp14:editId="3FD6BB7E">
            <wp:extent cx="5829300" cy="3305175"/>
            <wp:effectExtent l="0" t="0" r="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20D" w:rsidRPr="00A6495D" w:rsidRDefault="0074220D" w:rsidP="0074220D">
      <w:pPr>
        <w:tabs>
          <w:tab w:val="left" w:pos="975"/>
        </w:tabs>
        <w:spacing w:line="360" w:lineRule="auto"/>
        <w:rPr>
          <w:sz w:val="24"/>
          <w:szCs w:val="24"/>
        </w:rPr>
      </w:pPr>
      <w:r w:rsidRPr="00A6495D">
        <w:rPr>
          <w:sz w:val="24"/>
          <w:szCs w:val="24"/>
        </w:rPr>
        <w:t xml:space="preserve">Kredi ve Yurtlar Kurumu Genel Müdürlüğü’nün bütçesi 2018 yılına göre %25,34 azalmıştır. Yüksek Öğrenim Kredi ve Yurtlar Kurumu özel bütçeli kurum iken Gençlik ve Spor Bakanlığına bağlı bir genel müdürlüğe dönüştürülmüştür. Bu nedenle Özel Kalem </w:t>
      </w:r>
      <w:proofErr w:type="spellStart"/>
      <w:r w:rsidRPr="00A6495D">
        <w:rPr>
          <w:sz w:val="24"/>
          <w:szCs w:val="24"/>
        </w:rPr>
        <w:t>vb</w:t>
      </w:r>
      <w:proofErr w:type="spellEnd"/>
      <w:r w:rsidRPr="00A6495D">
        <w:rPr>
          <w:sz w:val="24"/>
          <w:szCs w:val="24"/>
        </w:rPr>
        <w:t xml:space="preserve"> giderlere 2019 bütçesi içerisinde yer verilmemiştir.  </w:t>
      </w:r>
    </w:p>
    <w:p w:rsidR="0074220D" w:rsidRPr="00A6495D" w:rsidRDefault="0074220D" w:rsidP="0074220D">
      <w:pPr>
        <w:tabs>
          <w:tab w:val="left" w:pos="975"/>
        </w:tabs>
        <w:spacing w:line="360" w:lineRule="auto"/>
        <w:rPr>
          <w:sz w:val="24"/>
          <w:szCs w:val="24"/>
        </w:rPr>
      </w:pPr>
      <w:r w:rsidRPr="00A6495D">
        <w:rPr>
          <w:sz w:val="24"/>
          <w:szCs w:val="24"/>
        </w:rPr>
        <w:t xml:space="preserve">2018 yılında 2 milyar 325 milyon lira olan lisans bursu 2 milyar 582 milyon liraya yükselmiş, 50 milyon lira olan yüksek lisans bursu 40 milyon 190 bin liraya gerilemiş, 45 milyon olan doktora bursu ise 50 milyon 495 bin liraya yükselmiştir. </w:t>
      </w:r>
    </w:p>
    <w:p w:rsidR="0074220D" w:rsidRPr="00A6495D" w:rsidRDefault="0074220D" w:rsidP="0074220D">
      <w:pPr>
        <w:pStyle w:val="Balk2"/>
        <w:spacing w:line="360" w:lineRule="auto"/>
        <w:rPr>
          <w:rFonts w:ascii="Times New Roman" w:eastAsiaTheme="minorHAnsi" w:hAnsi="Times New Roman" w:cs="Times New Roman"/>
          <w:b/>
          <w:color w:val="auto"/>
          <w:sz w:val="24"/>
          <w:szCs w:val="24"/>
          <w:lang w:eastAsia="en-US"/>
        </w:rPr>
      </w:pPr>
      <w:bookmarkStart w:id="3" w:name="_Toc528687149"/>
      <w:r w:rsidRPr="00A6495D">
        <w:rPr>
          <w:rFonts w:ascii="Times New Roman" w:eastAsiaTheme="minorHAnsi" w:hAnsi="Times New Roman" w:cs="Times New Roman"/>
          <w:b/>
          <w:color w:val="auto"/>
          <w:sz w:val="24"/>
          <w:szCs w:val="24"/>
          <w:lang w:eastAsia="en-US"/>
        </w:rPr>
        <w:lastRenderedPageBreak/>
        <w:t>Yurt Sorunu</w:t>
      </w:r>
      <w:bookmarkEnd w:id="3"/>
    </w:p>
    <w:p w:rsidR="0074220D" w:rsidRPr="00A6495D" w:rsidRDefault="0074220D" w:rsidP="0074220D">
      <w:pPr>
        <w:tabs>
          <w:tab w:val="left" w:pos="975"/>
        </w:tabs>
        <w:spacing w:line="360" w:lineRule="auto"/>
        <w:rPr>
          <w:sz w:val="24"/>
          <w:szCs w:val="24"/>
        </w:rPr>
      </w:pPr>
      <w:r w:rsidRPr="00A6495D">
        <w:rPr>
          <w:sz w:val="24"/>
          <w:szCs w:val="24"/>
        </w:rPr>
        <w:t xml:space="preserve">Yüksek Öğrenim Kredi ve Yurtlar Kurumuna bağlı 790 yurtta 258 bin 101 erkek, 409 bin 916 kız kapasitesi bulunmaktadır. Yükseköğretimde 2015 Özel Öğrenci Yurdunda 109 bin 980 öğrenci barınıyor. Bu yurtlar şahıs ya da kimi vakıf ve derneklere ait. Ayrıca birçok tarikat ve cemaatin binlerce yurdu bulunmaktadır. Bunun yanı sıra binlerce kaçak ev ve merdiven altı yurt bulunmaktadır. Bu kaçak ev ve yurtların nerdeyse tamamı cemaat ve tarikatlara aittir. Bunlar yetmezmiş gibi, eğitimi devletin elinden biraz daha çıkaran kritik bir yönetmelik değişikliği yapılmıştır. </w:t>
      </w:r>
      <w:r w:rsidRPr="00A6495D">
        <w:rPr>
          <w:b/>
          <w:sz w:val="24"/>
          <w:szCs w:val="24"/>
        </w:rPr>
        <w:t>Bu değişiklik ile Kamu yararına dernek statüsünde olan STK’lara karşılıksız kamu arazi ve taşınmazlarının verilmesinin önü açılmıştır. Hangi derneklerin kamu yararına dernek statüsünde olacağına ise Cumhurbaşkanı Tayyip Erdoğan karar veriyor</w:t>
      </w:r>
      <w:r w:rsidRPr="00A6495D">
        <w:rPr>
          <w:sz w:val="24"/>
          <w:szCs w:val="24"/>
        </w:rPr>
        <w:t>. Birçok tarikatın dernek ve vakıf adı altında faaliyet yürüttüğü göz önüne alınırsa söz konusu yönetmelik değişikliği yeni ‘Ensar’ skandalları ve yeni ‘Aladağ’ facialarına zemin hazırlayacağa benziyor.</w:t>
      </w:r>
    </w:p>
    <w:p w:rsidR="0074220D" w:rsidRPr="00A6495D" w:rsidRDefault="0074220D" w:rsidP="0074220D">
      <w:pPr>
        <w:tabs>
          <w:tab w:val="left" w:pos="975"/>
        </w:tabs>
        <w:spacing w:line="360" w:lineRule="auto"/>
        <w:rPr>
          <w:sz w:val="24"/>
          <w:szCs w:val="24"/>
        </w:rPr>
      </w:pPr>
      <w:r w:rsidRPr="00A6495D">
        <w:rPr>
          <w:sz w:val="24"/>
          <w:szCs w:val="24"/>
        </w:rPr>
        <w:t xml:space="preserve">Yükseköğretim örgün eğitim kapsamında 3 milyon 887 bin öğrencinin sadece %17,18’ine yurt </w:t>
      </w:r>
      <w:proofErr w:type="gramStart"/>
      <w:r w:rsidRPr="00A6495D">
        <w:rPr>
          <w:sz w:val="24"/>
          <w:szCs w:val="24"/>
        </w:rPr>
        <w:t>imkanı</w:t>
      </w:r>
      <w:proofErr w:type="gramEnd"/>
      <w:r w:rsidRPr="00A6495D">
        <w:rPr>
          <w:sz w:val="24"/>
          <w:szCs w:val="24"/>
        </w:rPr>
        <w:t xml:space="preserve"> sağlanabiliyor. Devlet yurtlarında yer olmadığı için öğrencilerin bir kısmı özel yurtlara yönleniyor. Yurtların fiyatları yaklaşık 6-40 bin lira arasında değişiyor.</w:t>
      </w:r>
    </w:p>
    <w:p w:rsidR="0074220D" w:rsidRPr="00A6495D" w:rsidRDefault="0074220D" w:rsidP="0074220D">
      <w:pPr>
        <w:tabs>
          <w:tab w:val="left" w:pos="975"/>
        </w:tabs>
        <w:spacing w:line="360" w:lineRule="auto"/>
        <w:rPr>
          <w:b/>
          <w:sz w:val="24"/>
          <w:szCs w:val="24"/>
        </w:rPr>
      </w:pPr>
      <w:r w:rsidRPr="00A6495D">
        <w:rPr>
          <w:b/>
          <w:sz w:val="24"/>
          <w:szCs w:val="24"/>
        </w:rPr>
        <w:t>Tablo 6. Yükseköğretim Yurtları</w:t>
      </w:r>
    </w:p>
    <w:tbl>
      <w:tblPr>
        <w:tblStyle w:val="KlavuzTablo5Koyu-Vurgu3"/>
        <w:tblW w:w="9265" w:type="dxa"/>
        <w:tblLook w:val="04A0" w:firstRow="1" w:lastRow="0" w:firstColumn="1" w:lastColumn="0" w:noHBand="0" w:noVBand="1"/>
      </w:tblPr>
      <w:tblGrid>
        <w:gridCol w:w="2046"/>
        <w:gridCol w:w="2050"/>
        <w:gridCol w:w="1904"/>
        <w:gridCol w:w="1720"/>
        <w:gridCol w:w="1545"/>
      </w:tblGrid>
      <w:tr w:rsidR="0074220D" w:rsidRPr="006E76F5" w:rsidTr="00F61992">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046" w:type="dxa"/>
            <w:vMerge w:val="restart"/>
          </w:tcPr>
          <w:p w:rsidR="0074220D" w:rsidRPr="006E76F5" w:rsidRDefault="0074220D" w:rsidP="00F61992">
            <w:pPr>
              <w:tabs>
                <w:tab w:val="left" w:pos="975"/>
              </w:tabs>
              <w:spacing w:after="160" w:line="259" w:lineRule="auto"/>
              <w:rPr>
                <w:color w:val="auto"/>
                <w:sz w:val="28"/>
                <w:szCs w:val="28"/>
              </w:rPr>
            </w:pPr>
          </w:p>
        </w:tc>
        <w:tc>
          <w:tcPr>
            <w:tcW w:w="3954" w:type="dxa"/>
            <w:gridSpan w:val="2"/>
          </w:tcPr>
          <w:p w:rsidR="0074220D" w:rsidRPr="006E76F5" w:rsidRDefault="0074220D" w:rsidP="00F61992">
            <w:pPr>
              <w:tabs>
                <w:tab w:val="left" w:pos="975"/>
              </w:tabs>
              <w:spacing w:after="160" w:line="259" w:lineRule="auto"/>
              <w:cnfStyle w:val="100000000000" w:firstRow="1" w:lastRow="0" w:firstColumn="0" w:lastColumn="0" w:oddVBand="0" w:evenVBand="0" w:oddHBand="0" w:evenHBand="0" w:firstRowFirstColumn="0" w:firstRowLastColumn="0" w:lastRowFirstColumn="0" w:lastRowLastColumn="0"/>
              <w:rPr>
                <w:color w:val="auto"/>
                <w:sz w:val="28"/>
                <w:szCs w:val="28"/>
              </w:rPr>
            </w:pPr>
            <w:r w:rsidRPr="006E76F5">
              <w:rPr>
                <w:color w:val="auto"/>
                <w:sz w:val="28"/>
                <w:szCs w:val="28"/>
              </w:rPr>
              <w:t>Yurt Sayısı</w:t>
            </w:r>
          </w:p>
        </w:tc>
        <w:tc>
          <w:tcPr>
            <w:tcW w:w="3265" w:type="dxa"/>
            <w:gridSpan w:val="2"/>
          </w:tcPr>
          <w:p w:rsidR="0074220D" w:rsidRPr="006E76F5" w:rsidRDefault="0074220D" w:rsidP="00F61992">
            <w:pPr>
              <w:tabs>
                <w:tab w:val="left" w:pos="975"/>
              </w:tabs>
              <w:spacing w:after="160" w:line="259" w:lineRule="auto"/>
              <w:cnfStyle w:val="100000000000" w:firstRow="1" w:lastRow="0" w:firstColumn="0" w:lastColumn="0" w:oddVBand="0" w:evenVBand="0" w:oddHBand="0" w:evenHBand="0" w:firstRowFirstColumn="0" w:firstRowLastColumn="0" w:lastRowFirstColumn="0" w:lastRowLastColumn="0"/>
              <w:rPr>
                <w:color w:val="auto"/>
                <w:sz w:val="28"/>
                <w:szCs w:val="28"/>
              </w:rPr>
            </w:pPr>
            <w:r w:rsidRPr="006E76F5">
              <w:rPr>
                <w:color w:val="auto"/>
                <w:sz w:val="28"/>
                <w:szCs w:val="28"/>
              </w:rPr>
              <w:t>Öğrenci Sayısı</w:t>
            </w:r>
          </w:p>
        </w:tc>
      </w:tr>
      <w:tr w:rsidR="0074220D" w:rsidRPr="006E76F5" w:rsidTr="00F6199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046" w:type="dxa"/>
            <w:vMerge/>
          </w:tcPr>
          <w:p w:rsidR="0074220D" w:rsidRPr="006E76F5" w:rsidRDefault="0074220D" w:rsidP="00F61992">
            <w:pPr>
              <w:tabs>
                <w:tab w:val="left" w:pos="975"/>
              </w:tabs>
              <w:spacing w:after="160" w:line="259" w:lineRule="auto"/>
              <w:rPr>
                <w:color w:val="auto"/>
                <w:sz w:val="28"/>
                <w:szCs w:val="28"/>
              </w:rPr>
            </w:pPr>
          </w:p>
        </w:tc>
        <w:tc>
          <w:tcPr>
            <w:tcW w:w="2050"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sidRPr="006E76F5">
              <w:rPr>
                <w:b/>
                <w:sz w:val="28"/>
                <w:szCs w:val="28"/>
              </w:rPr>
              <w:t>2006</w:t>
            </w:r>
          </w:p>
        </w:tc>
        <w:tc>
          <w:tcPr>
            <w:tcW w:w="1904"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sidRPr="006E76F5">
              <w:rPr>
                <w:b/>
                <w:sz w:val="28"/>
                <w:szCs w:val="28"/>
              </w:rPr>
              <w:t>2018</w:t>
            </w:r>
          </w:p>
        </w:tc>
        <w:tc>
          <w:tcPr>
            <w:tcW w:w="1720"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sidRPr="006E76F5">
              <w:rPr>
                <w:b/>
                <w:sz w:val="28"/>
                <w:szCs w:val="28"/>
              </w:rPr>
              <w:t>2006</w:t>
            </w:r>
          </w:p>
        </w:tc>
        <w:tc>
          <w:tcPr>
            <w:tcW w:w="1544"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sidRPr="006E76F5">
              <w:rPr>
                <w:b/>
                <w:sz w:val="28"/>
                <w:szCs w:val="28"/>
              </w:rPr>
              <w:t>2018</w:t>
            </w:r>
          </w:p>
        </w:tc>
      </w:tr>
      <w:tr w:rsidR="0074220D" w:rsidRPr="006E76F5" w:rsidTr="00F61992">
        <w:trPr>
          <w:trHeight w:val="764"/>
        </w:trPr>
        <w:tc>
          <w:tcPr>
            <w:cnfStyle w:val="001000000000" w:firstRow="0" w:lastRow="0" w:firstColumn="1" w:lastColumn="0" w:oddVBand="0" w:evenVBand="0" w:oddHBand="0" w:evenHBand="0" w:firstRowFirstColumn="0" w:firstRowLastColumn="0" w:lastRowFirstColumn="0" w:lastRowLastColumn="0"/>
            <w:tcW w:w="2046" w:type="dxa"/>
          </w:tcPr>
          <w:p w:rsidR="0074220D" w:rsidRPr="006E76F5" w:rsidRDefault="0074220D" w:rsidP="00F61992">
            <w:pPr>
              <w:tabs>
                <w:tab w:val="left" w:pos="975"/>
              </w:tabs>
              <w:spacing w:after="160" w:line="259" w:lineRule="auto"/>
              <w:rPr>
                <w:color w:val="auto"/>
                <w:sz w:val="28"/>
                <w:szCs w:val="28"/>
              </w:rPr>
            </w:pPr>
            <w:r w:rsidRPr="006E76F5">
              <w:rPr>
                <w:color w:val="auto"/>
                <w:sz w:val="28"/>
                <w:szCs w:val="28"/>
              </w:rPr>
              <w:t>Toplam</w:t>
            </w:r>
          </w:p>
        </w:tc>
        <w:tc>
          <w:tcPr>
            <w:tcW w:w="2050"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1197</w:t>
            </w:r>
          </w:p>
        </w:tc>
        <w:tc>
          <w:tcPr>
            <w:tcW w:w="1904"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2015</w:t>
            </w:r>
          </w:p>
        </w:tc>
        <w:tc>
          <w:tcPr>
            <w:tcW w:w="1720"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262.772</w:t>
            </w:r>
          </w:p>
        </w:tc>
        <w:tc>
          <w:tcPr>
            <w:tcW w:w="1544"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777.997</w:t>
            </w:r>
          </w:p>
        </w:tc>
      </w:tr>
      <w:tr w:rsidR="0074220D" w:rsidRPr="006E76F5" w:rsidTr="00F61992">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046" w:type="dxa"/>
          </w:tcPr>
          <w:p w:rsidR="0074220D" w:rsidRPr="006E76F5" w:rsidRDefault="0074220D" w:rsidP="00F61992">
            <w:pPr>
              <w:tabs>
                <w:tab w:val="left" w:pos="975"/>
              </w:tabs>
              <w:spacing w:after="160" w:line="259" w:lineRule="auto"/>
              <w:rPr>
                <w:color w:val="auto"/>
                <w:sz w:val="28"/>
                <w:szCs w:val="28"/>
              </w:rPr>
            </w:pPr>
            <w:r w:rsidRPr="006E76F5">
              <w:rPr>
                <w:color w:val="auto"/>
                <w:sz w:val="28"/>
                <w:szCs w:val="28"/>
              </w:rPr>
              <w:t>Resmi</w:t>
            </w:r>
          </w:p>
        </w:tc>
        <w:tc>
          <w:tcPr>
            <w:tcW w:w="2050"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sz w:val="28"/>
                <w:szCs w:val="28"/>
              </w:rPr>
            </w:pPr>
            <w:r w:rsidRPr="006E76F5">
              <w:rPr>
                <w:sz w:val="28"/>
                <w:szCs w:val="28"/>
              </w:rPr>
              <w:t>216</w:t>
            </w:r>
          </w:p>
        </w:tc>
        <w:tc>
          <w:tcPr>
            <w:tcW w:w="1904"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sz w:val="28"/>
                <w:szCs w:val="28"/>
              </w:rPr>
            </w:pPr>
            <w:r w:rsidRPr="006E76F5">
              <w:rPr>
                <w:sz w:val="28"/>
                <w:szCs w:val="28"/>
              </w:rPr>
              <w:t>790</w:t>
            </w:r>
          </w:p>
        </w:tc>
        <w:tc>
          <w:tcPr>
            <w:tcW w:w="1720"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sz w:val="28"/>
                <w:szCs w:val="28"/>
              </w:rPr>
            </w:pPr>
            <w:r w:rsidRPr="006E76F5">
              <w:rPr>
                <w:sz w:val="28"/>
                <w:szCs w:val="28"/>
              </w:rPr>
              <w:t>198.945</w:t>
            </w:r>
          </w:p>
        </w:tc>
        <w:tc>
          <w:tcPr>
            <w:tcW w:w="1544" w:type="dxa"/>
          </w:tcPr>
          <w:p w:rsidR="0074220D" w:rsidRPr="006E76F5" w:rsidRDefault="0074220D" w:rsidP="00F61992">
            <w:pPr>
              <w:tabs>
                <w:tab w:val="left" w:pos="975"/>
              </w:tabs>
              <w:spacing w:after="160" w:line="259" w:lineRule="auto"/>
              <w:cnfStyle w:val="000000100000" w:firstRow="0" w:lastRow="0" w:firstColumn="0" w:lastColumn="0" w:oddVBand="0" w:evenVBand="0" w:oddHBand="1" w:evenHBand="0" w:firstRowFirstColumn="0" w:firstRowLastColumn="0" w:lastRowFirstColumn="0" w:lastRowLastColumn="0"/>
              <w:rPr>
                <w:sz w:val="28"/>
                <w:szCs w:val="28"/>
              </w:rPr>
            </w:pPr>
            <w:r w:rsidRPr="006E76F5">
              <w:rPr>
                <w:sz w:val="28"/>
                <w:szCs w:val="28"/>
              </w:rPr>
              <w:t>668.017</w:t>
            </w:r>
          </w:p>
        </w:tc>
      </w:tr>
      <w:tr w:rsidR="0074220D" w:rsidRPr="006E76F5" w:rsidTr="00F61992">
        <w:trPr>
          <w:trHeight w:val="811"/>
        </w:trPr>
        <w:tc>
          <w:tcPr>
            <w:cnfStyle w:val="001000000000" w:firstRow="0" w:lastRow="0" w:firstColumn="1" w:lastColumn="0" w:oddVBand="0" w:evenVBand="0" w:oddHBand="0" w:evenHBand="0" w:firstRowFirstColumn="0" w:firstRowLastColumn="0" w:lastRowFirstColumn="0" w:lastRowLastColumn="0"/>
            <w:tcW w:w="2046" w:type="dxa"/>
          </w:tcPr>
          <w:p w:rsidR="0074220D" w:rsidRPr="006E76F5" w:rsidRDefault="0074220D" w:rsidP="00F61992">
            <w:pPr>
              <w:tabs>
                <w:tab w:val="left" w:pos="975"/>
              </w:tabs>
              <w:spacing w:after="160" w:line="259" w:lineRule="auto"/>
              <w:rPr>
                <w:color w:val="auto"/>
                <w:sz w:val="28"/>
                <w:szCs w:val="28"/>
              </w:rPr>
            </w:pPr>
            <w:r w:rsidRPr="006E76F5">
              <w:rPr>
                <w:color w:val="auto"/>
                <w:sz w:val="28"/>
                <w:szCs w:val="28"/>
              </w:rPr>
              <w:t>Özel</w:t>
            </w:r>
          </w:p>
        </w:tc>
        <w:tc>
          <w:tcPr>
            <w:tcW w:w="2050"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981</w:t>
            </w:r>
          </w:p>
        </w:tc>
        <w:tc>
          <w:tcPr>
            <w:tcW w:w="1904"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1656</w:t>
            </w:r>
          </w:p>
        </w:tc>
        <w:tc>
          <w:tcPr>
            <w:tcW w:w="1720"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63.827</w:t>
            </w:r>
          </w:p>
        </w:tc>
        <w:tc>
          <w:tcPr>
            <w:tcW w:w="1544" w:type="dxa"/>
          </w:tcPr>
          <w:p w:rsidR="0074220D" w:rsidRPr="006E76F5" w:rsidRDefault="0074220D" w:rsidP="00F61992">
            <w:pPr>
              <w:tabs>
                <w:tab w:val="left" w:pos="975"/>
              </w:tabs>
              <w:spacing w:after="160" w:line="259" w:lineRule="auto"/>
              <w:cnfStyle w:val="000000000000" w:firstRow="0" w:lastRow="0" w:firstColumn="0" w:lastColumn="0" w:oddVBand="0" w:evenVBand="0" w:oddHBand="0" w:evenHBand="0" w:firstRowFirstColumn="0" w:firstRowLastColumn="0" w:lastRowFirstColumn="0" w:lastRowLastColumn="0"/>
              <w:rPr>
                <w:sz w:val="28"/>
                <w:szCs w:val="28"/>
              </w:rPr>
            </w:pPr>
            <w:r w:rsidRPr="006E76F5">
              <w:rPr>
                <w:sz w:val="28"/>
                <w:szCs w:val="28"/>
              </w:rPr>
              <w:t>109.980</w:t>
            </w:r>
          </w:p>
        </w:tc>
      </w:tr>
    </w:tbl>
    <w:p w:rsidR="0074220D" w:rsidRPr="006E76F5" w:rsidRDefault="0074220D" w:rsidP="0074220D">
      <w:pPr>
        <w:tabs>
          <w:tab w:val="left" w:pos="975"/>
        </w:tabs>
        <w:rPr>
          <w:b/>
          <w:sz w:val="28"/>
          <w:szCs w:val="28"/>
        </w:rPr>
      </w:pPr>
    </w:p>
    <w:p w:rsidR="0074220D" w:rsidRDefault="0074220D" w:rsidP="0074220D">
      <w:pPr>
        <w:tabs>
          <w:tab w:val="left" w:pos="975"/>
        </w:tabs>
        <w:spacing w:line="360" w:lineRule="auto"/>
        <w:rPr>
          <w:b/>
          <w:sz w:val="24"/>
          <w:szCs w:val="24"/>
        </w:rPr>
      </w:pPr>
      <w:r w:rsidRPr="00A6495D">
        <w:rPr>
          <w:b/>
          <w:sz w:val="24"/>
          <w:szCs w:val="24"/>
        </w:rPr>
        <w:t xml:space="preserve">Yükseköğretim öğrencilerinin </w:t>
      </w:r>
      <w:proofErr w:type="spellStart"/>
      <w:r w:rsidRPr="00A6495D">
        <w:rPr>
          <w:b/>
          <w:sz w:val="24"/>
          <w:szCs w:val="24"/>
        </w:rPr>
        <w:t>resmi+özel</w:t>
      </w:r>
      <w:proofErr w:type="spellEnd"/>
      <w:r w:rsidRPr="00A6495D">
        <w:rPr>
          <w:b/>
          <w:sz w:val="24"/>
          <w:szCs w:val="24"/>
        </w:rPr>
        <w:t xml:space="preserve"> 777.997’sine barınma hizmeti sağlanabilmiştir. Sonuç olarak yükseköğretimde birinci ve ikinci öğretim kapsamındaki öğrencilerin devlet yurtlarında sadece %17,18’ine barınma olanağı sağlanabilmiştir.</w:t>
      </w:r>
    </w:p>
    <w:p w:rsidR="0074220D" w:rsidRDefault="0074220D" w:rsidP="0074220D">
      <w:pPr>
        <w:tabs>
          <w:tab w:val="left" w:pos="975"/>
        </w:tabs>
        <w:spacing w:line="360" w:lineRule="auto"/>
        <w:rPr>
          <w:b/>
          <w:sz w:val="24"/>
          <w:szCs w:val="24"/>
        </w:rPr>
      </w:pPr>
    </w:p>
    <w:p w:rsidR="0074220D" w:rsidRDefault="0074220D" w:rsidP="0074220D">
      <w:pPr>
        <w:tabs>
          <w:tab w:val="left" w:pos="975"/>
        </w:tabs>
        <w:spacing w:line="360" w:lineRule="auto"/>
        <w:rPr>
          <w:b/>
          <w:sz w:val="24"/>
          <w:szCs w:val="24"/>
        </w:rPr>
      </w:pPr>
    </w:p>
    <w:p w:rsidR="0074220D" w:rsidRPr="0081034B" w:rsidRDefault="0074220D" w:rsidP="0074220D">
      <w:pPr>
        <w:tabs>
          <w:tab w:val="left" w:pos="975"/>
        </w:tabs>
        <w:spacing w:line="360" w:lineRule="auto"/>
        <w:rPr>
          <w:b/>
          <w:sz w:val="24"/>
          <w:szCs w:val="24"/>
        </w:rPr>
      </w:pPr>
      <w:r w:rsidRPr="0081034B">
        <w:rPr>
          <w:b/>
          <w:sz w:val="24"/>
          <w:szCs w:val="24"/>
        </w:rPr>
        <w:t>SONUÇ</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 xml:space="preserve">Öngörülen milli eğitim bütçesi ile okul öncesi, ilköğretim, ortaöğretim ve </w:t>
      </w:r>
      <w:proofErr w:type="gramStart"/>
      <w:r w:rsidRPr="0081034B">
        <w:rPr>
          <w:color w:val="000000"/>
        </w:rPr>
        <w:t>yüksek öğretimde</w:t>
      </w:r>
      <w:proofErr w:type="gramEnd"/>
      <w:r w:rsidRPr="0081034B">
        <w:rPr>
          <w:color w:val="000000"/>
        </w:rPr>
        <w:t xml:space="preserve"> okullaşma oranını yukarı çekmek olanaksızdır.</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lastRenderedPageBreak/>
        <w:t xml:space="preserve">Öğrenci sayısının artmasıyla birlikte okul, derslik ve öğretmen açığı büyümektedir. Bugün Türkiye’de halen öğretmeni olmayan okullar, okulu olmayan </w:t>
      </w:r>
      <w:r>
        <w:rPr>
          <w:color w:val="000000"/>
        </w:rPr>
        <w:t>yerleşimler</w:t>
      </w:r>
      <w:r w:rsidRPr="0081034B">
        <w:rPr>
          <w:color w:val="000000"/>
        </w:rPr>
        <w:t xml:space="preserve"> bulunmaktadır. T</w:t>
      </w:r>
      <w:r>
        <w:rPr>
          <w:color w:val="000000"/>
        </w:rPr>
        <w:t>ürkiye’deki okulların yarısında</w:t>
      </w:r>
      <w:r w:rsidRPr="0081034B">
        <w:rPr>
          <w:color w:val="000000"/>
        </w:rPr>
        <w:t xml:space="preserve"> ikili eğitim yapılmakta, birleştirilmiş sınıflarda eğitim ve taşımalı eğitim uygulamasına devam edilmektedir. Okullardaki altyapı ve donanım eksiklikleri, nitelikli bir eğitim politikasının yürütülmesinin önünde büyük bir engeldir. Okul yetersizliği ve derslik açığının yanında, acil çözüm bekleyen en önemli sorun, öğretmen açıklarıdır. Ancak MEB, öğretmen açığını mevsimlik işçi istihdamına benzer bir anlayış üzerinden kadrosuz </w:t>
      </w:r>
      <w:r>
        <w:rPr>
          <w:color w:val="000000"/>
        </w:rPr>
        <w:t xml:space="preserve">ücretli </w:t>
      </w:r>
      <w:r w:rsidRPr="0081034B">
        <w:rPr>
          <w:color w:val="000000"/>
        </w:rPr>
        <w:t>öğretmenlerle kapatma yoluna giderek, kalıcı çözümlerin uzağında kalmakta, eğitimde ve eğitim kadrolarındaki sürekliliği sekteye uğratmaktadır. </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Kısacası, MEB bütçe rakamları siyasal iktidarın eğitime bakışını göstermektedir. Bu bakış, eğitimi özelleştirme, eğitimin yükünü yoksul halkın sırtına yükleme bakışıdır. Öngörülen milli eğitim bütçesiyle parasız, nitelikli ve herkese eğitim anlayışının yaşama geçirilmesi mümkün değildir. </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Atatürk, “Eğitimdir ki bir ulusu ya özgür, bağımsız, onurlu, yüksek bir topluluk biçiminde yaşatır ya da bir ulusu tutsaklık ve yoksulluğa götürür” sözüyle özgür bir toplum ideali içinde eğitimin önemini vurgulamıştır. Bu idealin sorumluluğu içinde Eğitim-İş olarak; hükümeti, sosyal devletin gereklerini yerine getirmeye çağırıyoruz.</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Taleplerimiz;</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 xml:space="preserve">-Genel bütçeden eğitime ayrılan pay yüzde 20’lere, </w:t>
      </w:r>
      <w:proofErr w:type="spellStart"/>
      <w:r w:rsidRPr="0081034B">
        <w:rPr>
          <w:color w:val="000000"/>
        </w:rPr>
        <w:t>GSMH’dan</w:t>
      </w:r>
      <w:proofErr w:type="spellEnd"/>
      <w:r w:rsidRPr="0081034B">
        <w:rPr>
          <w:color w:val="000000"/>
        </w:rPr>
        <w:t xml:space="preserve"> da daha fazla pay aktarılarak yüzde 6’lara çıkarılmalıdır.  </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Pr>
          <w:color w:val="000000"/>
        </w:rPr>
        <w:t xml:space="preserve">-Okul, derslik, </w:t>
      </w:r>
      <w:r w:rsidRPr="0081034B">
        <w:rPr>
          <w:color w:val="000000"/>
        </w:rPr>
        <w:t xml:space="preserve">öğretmen </w:t>
      </w:r>
      <w:r>
        <w:rPr>
          <w:color w:val="000000"/>
        </w:rPr>
        <w:t xml:space="preserve">ve yurt </w:t>
      </w:r>
      <w:r w:rsidRPr="0081034B">
        <w:rPr>
          <w:color w:val="000000"/>
        </w:rPr>
        <w:t>açıkları kapatılmalıdır.  </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-Kamu kaynaklarının özel okullara aktarılmasına son verilmeli, devlet okullarına yeterli ödenek ayrılmalıdır.</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 xml:space="preserve">-Öğretmenlerin </w:t>
      </w:r>
      <w:proofErr w:type="spellStart"/>
      <w:r w:rsidRPr="0081034B">
        <w:rPr>
          <w:color w:val="000000"/>
        </w:rPr>
        <w:t>sosyo</w:t>
      </w:r>
      <w:proofErr w:type="spellEnd"/>
      <w:r w:rsidRPr="0081034B">
        <w:rPr>
          <w:color w:val="000000"/>
        </w:rPr>
        <w:t>-ekonomik statülerini yükseltecek önlemler alınmalıdır.</w:t>
      </w:r>
    </w:p>
    <w:p w:rsidR="0074220D"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-İş güvencesinden yoksun sözleşmeli ve ücretli öğretmen uygulamasına son verilmelidir.</w:t>
      </w:r>
    </w:p>
    <w:p w:rsidR="0074220D" w:rsidRPr="0081034B" w:rsidRDefault="0074220D" w:rsidP="0074220D">
      <w:pPr>
        <w:pStyle w:val="NormalWeb"/>
        <w:shd w:val="clear" w:color="auto" w:fill="FFFFFF"/>
        <w:spacing w:before="0" w:beforeAutospacing="0" w:after="150" w:afterAutospacing="0" w:line="360" w:lineRule="auto"/>
        <w:jc w:val="both"/>
        <w:rPr>
          <w:color w:val="000000"/>
        </w:rPr>
      </w:pPr>
      <w:r w:rsidRPr="0081034B">
        <w:rPr>
          <w:color w:val="000000"/>
        </w:rPr>
        <w:t>-Eğitim kurumlarımızın personel ihtiyacı gerçekçi bir biçimde belirlenerek, yeterli sayıda yardımcı personel istihdam edilmelidir.</w:t>
      </w:r>
    </w:p>
    <w:p w:rsidR="00145920" w:rsidRDefault="0084075D" w:rsidP="00145920">
      <w:pPr>
        <w:spacing w:line="360" w:lineRule="auto"/>
        <w:ind w:firstLine="708"/>
        <w:jc w:val="both"/>
        <w:rPr>
          <w:sz w:val="24"/>
          <w:szCs w:val="24"/>
        </w:rPr>
      </w:pPr>
      <w:r w:rsidRPr="00145920">
        <w:rPr>
          <w:sz w:val="24"/>
          <w:szCs w:val="24"/>
        </w:rPr>
        <w:tab/>
      </w:r>
      <w:r w:rsidRPr="00145920">
        <w:rPr>
          <w:sz w:val="24"/>
          <w:szCs w:val="24"/>
        </w:rPr>
        <w:tab/>
      </w:r>
      <w:r w:rsidRPr="00145920">
        <w:rPr>
          <w:sz w:val="24"/>
          <w:szCs w:val="24"/>
        </w:rPr>
        <w:tab/>
      </w:r>
      <w:r w:rsidRPr="00145920">
        <w:rPr>
          <w:sz w:val="24"/>
          <w:szCs w:val="24"/>
        </w:rPr>
        <w:tab/>
      </w:r>
      <w:r w:rsidRPr="00145920">
        <w:rPr>
          <w:sz w:val="24"/>
          <w:szCs w:val="24"/>
        </w:rPr>
        <w:tab/>
      </w:r>
      <w:r w:rsidRPr="00145920">
        <w:rPr>
          <w:sz w:val="24"/>
          <w:szCs w:val="24"/>
        </w:rPr>
        <w:tab/>
      </w:r>
    </w:p>
    <w:p w:rsidR="00740B65" w:rsidRPr="00145920" w:rsidRDefault="0084075D" w:rsidP="00145920">
      <w:pPr>
        <w:spacing w:line="360" w:lineRule="auto"/>
        <w:ind w:left="4956" w:firstLine="708"/>
        <w:jc w:val="both"/>
        <w:rPr>
          <w:b/>
          <w:sz w:val="24"/>
          <w:szCs w:val="24"/>
        </w:rPr>
      </w:pPr>
      <w:r w:rsidRPr="00145920">
        <w:rPr>
          <w:b/>
          <w:sz w:val="24"/>
          <w:szCs w:val="24"/>
        </w:rPr>
        <w:t xml:space="preserve">MERKEZ YÖNETİM KURULU </w:t>
      </w:r>
    </w:p>
    <w:sectPr w:rsidR="00740B65" w:rsidRPr="00145920" w:rsidSect="00524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B2" w:rsidRDefault="00402CB2" w:rsidP="0074220D">
      <w:r>
        <w:separator/>
      </w:r>
    </w:p>
  </w:endnote>
  <w:endnote w:type="continuationSeparator" w:id="0">
    <w:p w:rsidR="00402CB2" w:rsidRDefault="00402CB2" w:rsidP="007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00362">
    <w:altName w:val="Courier New"/>
    <w:charset w:val="00"/>
    <w:family w:val="auto"/>
    <w:pitch w:val="variable"/>
    <w:sig w:usb0="00000087" w:usb1="00000000" w:usb2="00000000" w:usb3="00000000" w:csb0="0000001B"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B2" w:rsidRDefault="00402CB2" w:rsidP="0074220D">
      <w:r>
        <w:separator/>
      </w:r>
    </w:p>
  </w:footnote>
  <w:footnote w:type="continuationSeparator" w:id="0">
    <w:p w:rsidR="00402CB2" w:rsidRDefault="00402CB2" w:rsidP="0074220D">
      <w:r>
        <w:continuationSeparator/>
      </w:r>
    </w:p>
  </w:footnote>
  <w:footnote w:id="1">
    <w:p w:rsidR="0074220D" w:rsidRDefault="0074220D" w:rsidP="0074220D">
      <w:pPr>
        <w:pStyle w:val="DipnotMetni"/>
      </w:pPr>
      <w:r>
        <w:rPr>
          <w:rStyle w:val="DipnotBavurusu"/>
        </w:rPr>
        <w:footnoteRef/>
      </w:r>
      <w:r>
        <w:t xml:space="preserve"> </w:t>
      </w:r>
      <w:r>
        <w:rPr>
          <w:rFonts w:ascii="Segoe UI" w:hAnsi="Segoe UI" w:cs="Segoe UI"/>
        </w:rPr>
        <w:t>http://www.bumko.gov.tr/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34"/>
    <w:multiLevelType w:val="hybridMultilevel"/>
    <w:tmpl w:val="6BECD4B0"/>
    <w:lvl w:ilvl="0" w:tplc="F40030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B0"/>
    <w:rsid w:val="00001B75"/>
    <w:rsid w:val="00017775"/>
    <w:rsid w:val="00032DA3"/>
    <w:rsid w:val="00070940"/>
    <w:rsid w:val="0008360D"/>
    <w:rsid w:val="00093D8E"/>
    <w:rsid w:val="00095F87"/>
    <w:rsid w:val="000A5111"/>
    <w:rsid w:val="000C3B0B"/>
    <w:rsid w:val="00116363"/>
    <w:rsid w:val="00116B06"/>
    <w:rsid w:val="00125A7A"/>
    <w:rsid w:val="0014096F"/>
    <w:rsid w:val="00144699"/>
    <w:rsid w:val="00145920"/>
    <w:rsid w:val="001505A7"/>
    <w:rsid w:val="00157F67"/>
    <w:rsid w:val="00163A92"/>
    <w:rsid w:val="001A7AF0"/>
    <w:rsid w:val="001B24F0"/>
    <w:rsid w:val="001B4051"/>
    <w:rsid w:val="001E3928"/>
    <w:rsid w:val="001F6405"/>
    <w:rsid w:val="002054E4"/>
    <w:rsid w:val="002141B3"/>
    <w:rsid w:val="00222E88"/>
    <w:rsid w:val="00263469"/>
    <w:rsid w:val="002678F2"/>
    <w:rsid w:val="00275BB3"/>
    <w:rsid w:val="00285244"/>
    <w:rsid w:val="0029741B"/>
    <w:rsid w:val="002B0BB1"/>
    <w:rsid w:val="002C6AB3"/>
    <w:rsid w:val="002D41E5"/>
    <w:rsid w:val="002E0640"/>
    <w:rsid w:val="002E51FD"/>
    <w:rsid w:val="002E69F7"/>
    <w:rsid w:val="003354F2"/>
    <w:rsid w:val="003778A1"/>
    <w:rsid w:val="00387F76"/>
    <w:rsid w:val="00394221"/>
    <w:rsid w:val="003C51A2"/>
    <w:rsid w:val="003D337A"/>
    <w:rsid w:val="003D3606"/>
    <w:rsid w:val="003F1403"/>
    <w:rsid w:val="00402CB2"/>
    <w:rsid w:val="00432740"/>
    <w:rsid w:val="00454F76"/>
    <w:rsid w:val="004615C0"/>
    <w:rsid w:val="00480DE8"/>
    <w:rsid w:val="004D5D17"/>
    <w:rsid w:val="004F50B5"/>
    <w:rsid w:val="004F6107"/>
    <w:rsid w:val="004F7B08"/>
    <w:rsid w:val="00503376"/>
    <w:rsid w:val="0050610D"/>
    <w:rsid w:val="00515117"/>
    <w:rsid w:val="0052003A"/>
    <w:rsid w:val="00524B04"/>
    <w:rsid w:val="00531F10"/>
    <w:rsid w:val="00567DBA"/>
    <w:rsid w:val="00570D5C"/>
    <w:rsid w:val="005861C0"/>
    <w:rsid w:val="00592180"/>
    <w:rsid w:val="005A0B6D"/>
    <w:rsid w:val="005B4D94"/>
    <w:rsid w:val="005D2186"/>
    <w:rsid w:val="00610893"/>
    <w:rsid w:val="006271AB"/>
    <w:rsid w:val="00645785"/>
    <w:rsid w:val="00671226"/>
    <w:rsid w:val="006738EF"/>
    <w:rsid w:val="006935AB"/>
    <w:rsid w:val="006E22F1"/>
    <w:rsid w:val="006F072C"/>
    <w:rsid w:val="007236F1"/>
    <w:rsid w:val="00731D27"/>
    <w:rsid w:val="0073269D"/>
    <w:rsid w:val="00733499"/>
    <w:rsid w:val="00740B65"/>
    <w:rsid w:val="00741A76"/>
    <w:rsid w:val="0074220D"/>
    <w:rsid w:val="00760994"/>
    <w:rsid w:val="00775EE2"/>
    <w:rsid w:val="007A2E95"/>
    <w:rsid w:val="007B25D4"/>
    <w:rsid w:val="007C38C7"/>
    <w:rsid w:val="007F4606"/>
    <w:rsid w:val="008020F0"/>
    <w:rsid w:val="0084075D"/>
    <w:rsid w:val="00851138"/>
    <w:rsid w:val="00856DAB"/>
    <w:rsid w:val="00861D50"/>
    <w:rsid w:val="0087216B"/>
    <w:rsid w:val="008A1DE2"/>
    <w:rsid w:val="008B0A32"/>
    <w:rsid w:val="008C0827"/>
    <w:rsid w:val="008C5E2C"/>
    <w:rsid w:val="008D1144"/>
    <w:rsid w:val="008F1220"/>
    <w:rsid w:val="00930EB0"/>
    <w:rsid w:val="009409F5"/>
    <w:rsid w:val="00954825"/>
    <w:rsid w:val="00966B40"/>
    <w:rsid w:val="00984695"/>
    <w:rsid w:val="009A2A69"/>
    <w:rsid w:val="009C5C22"/>
    <w:rsid w:val="009D03EA"/>
    <w:rsid w:val="00A07533"/>
    <w:rsid w:val="00A20F3E"/>
    <w:rsid w:val="00A30EBC"/>
    <w:rsid w:val="00A361AD"/>
    <w:rsid w:val="00A5542A"/>
    <w:rsid w:val="00A64B30"/>
    <w:rsid w:val="00A71245"/>
    <w:rsid w:val="00A807F4"/>
    <w:rsid w:val="00AA3DAF"/>
    <w:rsid w:val="00AC2EE6"/>
    <w:rsid w:val="00AF6378"/>
    <w:rsid w:val="00B23B87"/>
    <w:rsid w:val="00B30BB8"/>
    <w:rsid w:val="00B345BE"/>
    <w:rsid w:val="00B424FF"/>
    <w:rsid w:val="00B575AF"/>
    <w:rsid w:val="00B650E2"/>
    <w:rsid w:val="00BB76BD"/>
    <w:rsid w:val="00BE066B"/>
    <w:rsid w:val="00C03DC6"/>
    <w:rsid w:val="00C06176"/>
    <w:rsid w:val="00C25B40"/>
    <w:rsid w:val="00C26FB1"/>
    <w:rsid w:val="00C340C5"/>
    <w:rsid w:val="00C43054"/>
    <w:rsid w:val="00C54279"/>
    <w:rsid w:val="00C85C6B"/>
    <w:rsid w:val="00CB3387"/>
    <w:rsid w:val="00CC4932"/>
    <w:rsid w:val="00CD5E19"/>
    <w:rsid w:val="00CE2649"/>
    <w:rsid w:val="00CE7385"/>
    <w:rsid w:val="00D11FF9"/>
    <w:rsid w:val="00D23AF6"/>
    <w:rsid w:val="00D400D1"/>
    <w:rsid w:val="00D4745E"/>
    <w:rsid w:val="00D91D9C"/>
    <w:rsid w:val="00E100AB"/>
    <w:rsid w:val="00E123DD"/>
    <w:rsid w:val="00E129F8"/>
    <w:rsid w:val="00E13847"/>
    <w:rsid w:val="00E3280D"/>
    <w:rsid w:val="00E72EA6"/>
    <w:rsid w:val="00E94DED"/>
    <w:rsid w:val="00EA7187"/>
    <w:rsid w:val="00EB54C3"/>
    <w:rsid w:val="00F05EC1"/>
    <w:rsid w:val="00F13AC1"/>
    <w:rsid w:val="00F205AE"/>
    <w:rsid w:val="00F25319"/>
    <w:rsid w:val="00F32111"/>
    <w:rsid w:val="00F34FEF"/>
    <w:rsid w:val="00F72721"/>
    <w:rsid w:val="00F82C27"/>
    <w:rsid w:val="00F82DD2"/>
    <w:rsid w:val="00F8550D"/>
    <w:rsid w:val="00F96082"/>
    <w:rsid w:val="00FA5F30"/>
    <w:rsid w:val="00FB0483"/>
    <w:rsid w:val="00FE0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25D9"/>
  <w15:docId w15:val="{F28764BC-0B7A-40A0-8788-E3FDADB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95F8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7422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EB0"/>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Normal"/>
    <w:rsid w:val="006738EF"/>
    <w:pPr>
      <w:spacing w:after="160" w:line="240" w:lineRule="exact"/>
      <w:jc w:val="both"/>
    </w:pPr>
    <w:rPr>
      <w:rFonts w:ascii="Verdana" w:hAnsi="Verdana"/>
      <w:lang w:val="en-GB" w:eastAsia="en-US"/>
    </w:rPr>
  </w:style>
  <w:style w:type="paragraph" w:styleId="NormalWeb">
    <w:name w:val="Normal (Web)"/>
    <w:basedOn w:val="Normal"/>
    <w:uiPriority w:val="99"/>
    <w:rsid w:val="00CC4932"/>
    <w:pPr>
      <w:spacing w:before="100" w:beforeAutospacing="1" w:after="100" w:afterAutospacing="1"/>
    </w:pPr>
    <w:rPr>
      <w:sz w:val="24"/>
      <w:szCs w:val="24"/>
    </w:rPr>
  </w:style>
  <w:style w:type="table" w:styleId="TabloKlavuzu">
    <w:name w:val="Table Grid"/>
    <w:basedOn w:val="NormalTablo"/>
    <w:rsid w:val="00F13AC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80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56DAB"/>
    <w:rPr>
      <w:rFonts w:ascii="Tahoma" w:hAnsi="Tahoma" w:cs="Tahoma"/>
      <w:sz w:val="16"/>
      <w:szCs w:val="16"/>
    </w:rPr>
  </w:style>
  <w:style w:type="character" w:customStyle="1" w:styleId="BalonMetniChar">
    <w:name w:val="Balon Metni Char"/>
    <w:basedOn w:val="VarsaylanParagrafYazTipi"/>
    <w:link w:val="BalonMetni"/>
    <w:uiPriority w:val="99"/>
    <w:semiHidden/>
    <w:rsid w:val="00856DAB"/>
    <w:rPr>
      <w:rFonts w:ascii="Tahoma" w:eastAsia="Times New Roman" w:hAnsi="Tahoma" w:cs="Tahoma"/>
      <w:sz w:val="16"/>
      <w:szCs w:val="16"/>
      <w:lang w:eastAsia="tr-TR"/>
    </w:rPr>
  </w:style>
  <w:style w:type="character" w:customStyle="1" w:styleId="apple-converted-space">
    <w:name w:val="apple-converted-space"/>
    <w:basedOn w:val="VarsaylanParagrafYazTipi"/>
    <w:rsid w:val="004615C0"/>
  </w:style>
  <w:style w:type="character" w:customStyle="1" w:styleId="Balk1Char">
    <w:name w:val="Başlık 1 Char"/>
    <w:basedOn w:val="VarsaylanParagrafYazTipi"/>
    <w:link w:val="Balk1"/>
    <w:rsid w:val="00095F87"/>
    <w:rPr>
      <w:rFonts w:ascii="Arial" w:eastAsia="Times New Roman" w:hAnsi="Arial" w:cs="Arial"/>
      <w:b/>
      <w:bCs/>
      <w:kern w:val="32"/>
      <w:sz w:val="32"/>
      <w:szCs w:val="32"/>
      <w:lang w:eastAsia="tr-TR"/>
    </w:rPr>
  </w:style>
  <w:style w:type="paragraph" w:customStyle="1" w:styleId="Default">
    <w:name w:val="Default"/>
    <w:uiPriority w:val="99"/>
    <w:rsid w:val="000A5111"/>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0A5111"/>
    <w:rPr>
      <w:b/>
      <w:bCs/>
    </w:rPr>
  </w:style>
  <w:style w:type="character" w:customStyle="1" w:styleId="Balk2Char">
    <w:name w:val="Başlık 2 Char"/>
    <w:basedOn w:val="VarsaylanParagrafYazTipi"/>
    <w:link w:val="Balk2"/>
    <w:uiPriority w:val="9"/>
    <w:semiHidden/>
    <w:rsid w:val="0074220D"/>
    <w:rPr>
      <w:rFonts w:asciiTheme="majorHAnsi" w:eastAsiaTheme="majorEastAsia" w:hAnsiTheme="majorHAnsi" w:cstheme="majorBidi"/>
      <w:color w:val="365F91" w:themeColor="accent1" w:themeShade="BF"/>
      <w:sz w:val="26"/>
      <w:szCs w:val="26"/>
      <w:lang w:eastAsia="tr-TR"/>
    </w:rPr>
  </w:style>
  <w:style w:type="table" w:styleId="KlavuzTablo1Ak-Vurgu1">
    <w:name w:val="Grid Table 1 Light Accent 1"/>
    <w:basedOn w:val="NormalTablo"/>
    <w:uiPriority w:val="46"/>
    <w:rsid w:val="00742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unhideWhenUsed/>
    <w:rsid w:val="0074220D"/>
    <w:rPr>
      <w:rFonts w:asciiTheme="minorHAnsi" w:eastAsiaTheme="minorEastAsia" w:hAnsiTheme="minorHAnsi"/>
    </w:rPr>
  </w:style>
  <w:style w:type="character" w:customStyle="1" w:styleId="DipnotMetniChar">
    <w:name w:val="Dipnot Metni Char"/>
    <w:basedOn w:val="VarsaylanParagrafYazTipi"/>
    <w:link w:val="DipnotMetni"/>
    <w:uiPriority w:val="99"/>
    <w:rsid w:val="0074220D"/>
    <w:rPr>
      <w:rFonts w:eastAsiaTheme="minorEastAsia" w:cs="Times New Roman"/>
      <w:sz w:val="20"/>
      <w:szCs w:val="20"/>
      <w:lang w:eastAsia="tr-TR"/>
    </w:rPr>
  </w:style>
  <w:style w:type="character" w:styleId="DipnotBavurusu">
    <w:name w:val="footnote reference"/>
    <w:basedOn w:val="VarsaylanParagrafYazTipi"/>
    <w:uiPriority w:val="99"/>
    <w:semiHidden/>
    <w:unhideWhenUsed/>
    <w:rsid w:val="0074220D"/>
    <w:rPr>
      <w:vertAlign w:val="superscript"/>
    </w:rPr>
  </w:style>
  <w:style w:type="table" w:styleId="KlavuzTablo1Ak-Vurgu5">
    <w:name w:val="Grid Table 1 Light Accent 5"/>
    <w:basedOn w:val="NormalTablo"/>
    <w:uiPriority w:val="46"/>
    <w:rsid w:val="007422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5Koyu-Vurgu3">
    <w:name w:val="Grid Table 5 Dark Accent 3"/>
    <w:basedOn w:val="NormalTablo"/>
    <w:uiPriority w:val="50"/>
    <w:rsid w:val="00742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1260">
      <w:bodyDiv w:val="1"/>
      <w:marLeft w:val="0"/>
      <w:marRight w:val="0"/>
      <w:marTop w:val="0"/>
      <w:marBottom w:val="0"/>
      <w:divBdr>
        <w:top w:val="none" w:sz="0" w:space="0" w:color="auto"/>
        <w:left w:val="none" w:sz="0" w:space="0" w:color="auto"/>
        <w:bottom w:val="none" w:sz="0" w:space="0" w:color="auto"/>
        <w:right w:val="none" w:sz="0" w:space="0" w:color="auto"/>
      </w:divBdr>
    </w:div>
    <w:div w:id="2060932334">
      <w:bodyDiv w:val="1"/>
      <w:marLeft w:val="0"/>
      <w:marRight w:val="0"/>
      <w:marTop w:val="0"/>
      <w:marBottom w:val="0"/>
      <w:divBdr>
        <w:top w:val="none" w:sz="0" w:space="0" w:color="auto"/>
        <w:left w:val="none" w:sz="0" w:space="0" w:color="auto"/>
        <w:bottom w:val="none" w:sz="0" w:space="0" w:color="auto"/>
        <w:right w:val="none" w:sz="0" w:space="0" w:color="auto"/>
      </w:divBdr>
    </w:div>
    <w:div w:id="20843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57982\Desktop\2018-2019\B&#220;T&#199;E\GRAF&#304;KLER----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spc="0" baseline="0">
                <a:solidFill>
                  <a:srgbClr val="C00000"/>
                </a:solidFill>
                <a:latin typeface="+mn-lt"/>
                <a:ea typeface="+mn-ea"/>
                <a:cs typeface="+mn-cs"/>
              </a:defRPr>
            </a:pPr>
            <a:r>
              <a:rPr lang="en-US" sz="1800" b="1">
                <a:solidFill>
                  <a:srgbClr val="C00000"/>
                </a:solidFill>
              </a:rPr>
              <a:t>2019 MEB BÜTÇESİNDEN YATIRIMLARA AYRILAN PAY (%)</a:t>
            </a:r>
          </a:p>
        </c:rich>
      </c:tx>
      <c:overlay val="0"/>
      <c:spPr>
        <a:noFill/>
        <a:ln>
          <a:noFill/>
        </a:ln>
        <a:effectLst/>
      </c:spPr>
      <c:txPr>
        <a:bodyPr rot="0" spcFirstLastPara="1" vertOverflow="ellipsis" vert="horz" wrap="square" anchor="ctr" anchorCtr="1"/>
        <a:lstStyle/>
        <a:p>
          <a:pPr>
            <a:defRPr sz="1800" b="1" i="0" u="none" strike="noStrike" kern="1200" spc="0" baseline="0">
              <a:solidFill>
                <a:srgbClr val="C00000"/>
              </a:solidFill>
              <a:latin typeface="+mn-lt"/>
              <a:ea typeface="+mn-ea"/>
              <a:cs typeface="+mn-cs"/>
            </a:defRPr>
          </a:pPr>
          <a:endParaRPr lang="tr-TR"/>
        </a:p>
      </c:txPr>
    </c:title>
    <c:autoTitleDeleted val="0"/>
    <c:plotArea>
      <c:layout/>
      <c:lineChart>
        <c:grouping val="standard"/>
        <c:varyColors val="0"/>
        <c:ser>
          <c:idx val="0"/>
          <c:order val="0"/>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linear"/>
            <c:dispRSqr val="0"/>
            <c:dispEq val="0"/>
          </c:trendline>
          <c:errBars>
            <c:errDir val="y"/>
            <c:errBarType val="both"/>
            <c:errValType val="stdErr"/>
            <c:noEndCap val="0"/>
            <c:spPr>
              <a:noFill/>
              <a:ln w="9525" cap="flat" cmpd="sng" algn="ctr">
                <a:solidFill>
                  <a:schemeClr val="tx1">
                    <a:lumMod val="65000"/>
                    <a:lumOff val="35000"/>
                  </a:schemeClr>
                </a:solidFill>
                <a:round/>
              </a:ln>
              <a:effectLst/>
            </c:spPr>
          </c:errBars>
          <c:cat>
            <c:numRef>
              <c:f>Sayfa5!$H$51:$H$73</c:f>
              <c:numCache>
                <c:formatCode>General</c:formatCode>
                <c:ptCount val="23"/>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numCache>
            </c:numRef>
          </c:cat>
          <c:val>
            <c:numRef>
              <c:f>Sayfa5!$I$51:$I$73</c:f>
              <c:numCache>
                <c:formatCode>General</c:formatCode>
                <c:ptCount val="23"/>
                <c:pt idx="0">
                  <c:v>15.01</c:v>
                </c:pt>
                <c:pt idx="1">
                  <c:v>30.03</c:v>
                </c:pt>
                <c:pt idx="2">
                  <c:v>19.149999999999999</c:v>
                </c:pt>
                <c:pt idx="3">
                  <c:v>19.899999999999999</c:v>
                </c:pt>
                <c:pt idx="4">
                  <c:v>19.27</c:v>
                </c:pt>
                <c:pt idx="5">
                  <c:v>17.18</c:v>
                </c:pt>
                <c:pt idx="6">
                  <c:v>14.53</c:v>
                </c:pt>
                <c:pt idx="7">
                  <c:v>9.68</c:v>
                </c:pt>
                <c:pt idx="8">
                  <c:v>8.27</c:v>
                </c:pt>
                <c:pt idx="9">
                  <c:v>7.49</c:v>
                </c:pt>
                <c:pt idx="10">
                  <c:v>6.98</c:v>
                </c:pt>
                <c:pt idx="11">
                  <c:v>5.66</c:v>
                </c:pt>
                <c:pt idx="12">
                  <c:v>4.57</c:v>
                </c:pt>
                <c:pt idx="13">
                  <c:v>6.32</c:v>
                </c:pt>
                <c:pt idx="14">
                  <c:v>5.85</c:v>
                </c:pt>
                <c:pt idx="15">
                  <c:v>6.64</c:v>
                </c:pt>
                <c:pt idx="16">
                  <c:v>8.32</c:v>
                </c:pt>
                <c:pt idx="17">
                  <c:v>9.32</c:v>
                </c:pt>
                <c:pt idx="18">
                  <c:v>8.86</c:v>
                </c:pt>
                <c:pt idx="19">
                  <c:v>8.23</c:v>
                </c:pt>
                <c:pt idx="20">
                  <c:v>8.51</c:v>
                </c:pt>
                <c:pt idx="21">
                  <c:v>8.36</c:v>
                </c:pt>
                <c:pt idx="22">
                  <c:v>4.88</c:v>
                </c:pt>
              </c:numCache>
            </c:numRef>
          </c:val>
          <c:smooth val="0"/>
          <c:extLst>
            <c:ext xmlns:c16="http://schemas.microsoft.com/office/drawing/2014/chart" uri="{C3380CC4-5D6E-409C-BE32-E72D297353CC}">
              <c16:uniqueId val="{00000000-7ACB-47BA-943C-8DEA47C9BDBE}"/>
            </c:ext>
          </c:extLst>
        </c:ser>
        <c:dLbls>
          <c:dLblPos val="t"/>
          <c:showLegendKey val="0"/>
          <c:showVal val="1"/>
          <c:showCatName val="0"/>
          <c:showSerName val="0"/>
          <c:showPercent val="0"/>
          <c:showBubbleSize val="0"/>
        </c:dLbls>
        <c:smooth val="0"/>
        <c:axId val="326488712"/>
        <c:axId val="326487928"/>
      </c:lineChart>
      <c:catAx>
        <c:axId val="3264887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002060"/>
                </a:solidFill>
                <a:latin typeface="+mn-lt"/>
                <a:ea typeface="+mn-ea"/>
                <a:cs typeface="+mn-cs"/>
              </a:defRPr>
            </a:pPr>
            <a:endParaRPr lang="tr-TR"/>
          </a:p>
        </c:txPr>
        <c:crossAx val="326487928"/>
        <c:crosses val="autoZero"/>
        <c:auto val="1"/>
        <c:lblAlgn val="ctr"/>
        <c:lblOffset val="100"/>
        <c:noMultiLvlLbl val="0"/>
      </c:catAx>
      <c:valAx>
        <c:axId val="3264879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accent6">
                    <a:lumMod val="75000"/>
                  </a:schemeClr>
                </a:solidFill>
                <a:latin typeface="+mn-lt"/>
                <a:ea typeface="+mn-ea"/>
                <a:cs typeface="+mn-cs"/>
              </a:defRPr>
            </a:pPr>
            <a:endParaRPr lang="tr-TR"/>
          </a:p>
        </c:txPr>
        <c:crossAx val="32648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rgbClr val="C00000"/>
                </a:solidFill>
                <a:latin typeface="+mn-lt"/>
                <a:ea typeface="+mn-ea"/>
                <a:cs typeface="+mn-cs"/>
              </a:defRPr>
            </a:pPr>
            <a:r>
              <a:rPr lang="en-US" sz="1600" b="1">
                <a:solidFill>
                  <a:srgbClr val="C00000"/>
                </a:solidFill>
              </a:rPr>
              <a:t>Kredi ve Yurtlar Genel Müdürlüğü</a:t>
            </a:r>
            <a:r>
              <a:rPr lang="tr-TR" sz="1600" b="1">
                <a:solidFill>
                  <a:srgbClr val="C00000"/>
                </a:solidFill>
              </a:rPr>
              <a:t> (2018-2019)</a:t>
            </a:r>
            <a:endParaRPr lang="en-US" sz="1600" b="1">
              <a:solidFill>
                <a:srgbClr val="C00000"/>
              </a:solidFill>
            </a:endParaRPr>
          </a:p>
        </c:rich>
      </c:tx>
      <c:overlay val="0"/>
      <c:spPr>
        <a:noFill/>
        <a:ln>
          <a:noFill/>
        </a:ln>
        <a:effectLst/>
      </c:spPr>
      <c:txPr>
        <a:bodyPr rot="0" spcFirstLastPara="1" vertOverflow="ellipsis" vert="horz" wrap="square" anchor="ctr" anchorCtr="1"/>
        <a:lstStyle/>
        <a:p>
          <a:pPr>
            <a:defRPr sz="1600" b="1" i="0" u="none" strike="noStrike" kern="1200" spc="0" baseline="0">
              <a:solidFill>
                <a:srgbClr val="C00000"/>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Sayfa5!$B$229</c:f>
              <c:strCache>
                <c:ptCount val="1"/>
                <c:pt idx="0">
                  <c:v>Kredi ve Yurtlar Genel Müdürlüğü</c:v>
                </c:pt>
              </c:strCache>
            </c:strRef>
          </c:tx>
          <c:spPr>
            <a:solidFill>
              <a:schemeClr val="accent1"/>
            </a:solidFill>
            <a:ln>
              <a:noFill/>
            </a:ln>
            <a:effectLst/>
            <a:sp3d/>
          </c:spPr>
          <c:invertIfNegative val="0"/>
          <c:dLbls>
            <c:dLbl>
              <c:idx val="0"/>
              <c:spPr>
                <a:noFill/>
                <a:ln>
                  <a:noFill/>
                </a:ln>
                <a:effectLst/>
              </c:spPr>
              <c:txPr>
                <a:bodyPr rot="0" spcFirstLastPara="1" vertOverflow="ellipsis" horzOverflow="clip" vert="horz" wrap="square" lIns="38100" tIns="19050" rIns="38100" bIns="19050" anchor="ctr" anchorCtr="1">
                  <a:noAutofit/>
                </a:bodyPr>
                <a:lstStyle/>
                <a:p>
                  <a:pPr>
                    <a:defRPr sz="1200" b="1" i="0" u="none" strike="noStrike" kern="1200" baseline="0">
                      <a:solidFill>
                        <a:srgbClr val="00206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3463-4D59-9646-A252A2B4BA0D}"/>
                </c:ext>
              </c:extLst>
            </c:dLbl>
            <c:dLbl>
              <c:idx val="1"/>
              <c:layout>
                <c:manualLayout>
                  <c:x val="1.9444444444444344E-2"/>
                  <c:y val="-3.5326360158370054E-2"/>
                </c:manualLayout>
              </c:layout>
              <c:tx>
                <c:rich>
                  <a:bodyPr rot="0" spcFirstLastPara="1" vertOverflow="ellipsis" vert="horz" wrap="square" lIns="38100" tIns="19050" rIns="38100" bIns="19050" anchor="ctr" anchorCtr="1">
                    <a:noAutofit/>
                  </a:bodyPr>
                  <a:lstStyle/>
                  <a:p>
                    <a:pPr>
                      <a:defRPr sz="1200" b="1" i="0" u="none" strike="noStrike" kern="1200" baseline="0">
                        <a:solidFill>
                          <a:srgbClr val="002060"/>
                        </a:solidFill>
                        <a:latin typeface="+mn-lt"/>
                        <a:ea typeface="+mn-ea"/>
                        <a:cs typeface="+mn-cs"/>
                      </a:defRPr>
                    </a:pPr>
                    <a:fld id="{21715018-BE40-4241-B842-192FE9BD6BBF}" type="VALUE">
                      <a:rPr lang="en-US"/>
                      <a:pPr>
                        <a:defRPr sz="1200" b="1">
                          <a:solidFill>
                            <a:srgbClr val="002060"/>
                          </a:solidFill>
                        </a:defRPr>
                      </a:pPr>
                      <a:t>[DEĞER]</a:t>
                    </a:fld>
                    <a:endParaRPr lang="en-US"/>
                  </a:p>
                  <a:p>
                    <a:pPr>
                      <a:defRPr sz="1200" b="1">
                        <a:solidFill>
                          <a:srgbClr val="002060"/>
                        </a:solidFill>
                      </a:defRPr>
                    </a:pPr>
                    <a:r>
                      <a:rPr lang="en-US"/>
                      <a:t>%25,34 azalış</a:t>
                    </a: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rgbClr val="002060"/>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0.22444444444444445"/>
                      <c:h val="0.16684727968325988"/>
                    </c:manualLayout>
                  </c15:layout>
                  <c15:dlblFieldTable/>
                  <c15:showDataLabelsRange val="0"/>
                </c:ext>
                <c:ext xmlns:c16="http://schemas.microsoft.com/office/drawing/2014/chart" uri="{C3380CC4-5D6E-409C-BE32-E72D297353CC}">
                  <c16:uniqueId val="{00000001-3463-4D59-9646-A252A2B4BA0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Sayfa5!$C$228:$D$228</c:f>
              <c:numCache>
                <c:formatCode>General</c:formatCode>
                <c:ptCount val="2"/>
                <c:pt idx="0">
                  <c:v>2018</c:v>
                </c:pt>
                <c:pt idx="1">
                  <c:v>2019</c:v>
                </c:pt>
              </c:numCache>
            </c:numRef>
          </c:cat>
          <c:val>
            <c:numRef>
              <c:f>Sayfa5!$C$229:$D$229</c:f>
              <c:numCache>
                <c:formatCode>General</c:formatCode>
                <c:ptCount val="2"/>
                <c:pt idx="0">
                  <c:v>13899262000</c:v>
                </c:pt>
                <c:pt idx="1">
                  <c:v>10376998000</c:v>
                </c:pt>
              </c:numCache>
            </c:numRef>
          </c:val>
          <c:extLst>
            <c:ext xmlns:c16="http://schemas.microsoft.com/office/drawing/2014/chart" uri="{C3380CC4-5D6E-409C-BE32-E72D297353CC}">
              <c16:uniqueId val="{00000002-3463-4D59-9646-A252A2B4BA0D}"/>
            </c:ext>
          </c:extLst>
        </c:ser>
        <c:dLbls>
          <c:showLegendKey val="0"/>
          <c:showVal val="1"/>
          <c:showCatName val="0"/>
          <c:showSerName val="0"/>
          <c:showPercent val="0"/>
          <c:showBubbleSize val="0"/>
        </c:dLbls>
        <c:gapWidth val="150"/>
        <c:shape val="box"/>
        <c:axId val="256260888"/>
        <c:axId val="256271080"/>
        <c:axId val="0"/>
      </c:bar3DChart>
      <c:catAx>
        <c:axId val="256260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rgbClr val="C00000"/>
                </a:solidFill>
                <a:latin typeface="+mn-lt"/>
                <a:ea typeface="+mn-ea"/>
                <a:cs typeface="+mn-cs"/>
              </a:defRPr>
            </a:pPr>
            <a:endParaRPr lang="tr-TR"/>
          </a:p>
        </c:txPr>
        <c:crossAx val="256271080"/>
        <c:crosses val="autoZero"/>
        <c:auto val="1"/>
        <c:lblAlgn val="ctr"/>
        <c:lblOffset val="100"/>
        <c:noMultiLvlLbl val="0"/>
      </c:catAx>
      <c:valAx>
        <c:axId val="2562710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5626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918F-1C7B-407A-A7A7-8FD82582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8863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pca</cp:lastModifiedBy>
  <cp:revision>3</cp:revision>
  <cp:lastPrinted>2018-09-10T08:45:00Z</cp:lastPrinted>
  <dcterms:created xsi:type="dcterms:W3CDTF">2018-11-07T06:55:00Z</dcterms:created>
  <dcterms:modified xsi:type="dcterms:W3CDTF">2018-11-07T06:56:00Z</dcterms:modified>
</cp:coreProperties>
</file>