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F87" w:rsidRPr="003C6C89" w:rsidRDefault="00095F87" w:rsidP="00095F87">
      <w:pPr>
        <w:rPr>
          <w:rFonts w:ascii="Impact" w:hAnsi="Impact"/>
          <w:color w:val="3366FF"/>
          <w:sz w:val="96"/>
          <w:szCs w:val="96"/>
        </w:rPr>
      </w:pPr>
      <w:r>
        <w:rPr>
          <w:rFonts w:ascii="00362" w:hAnsi="00362"/>
          <w:noProof/>
          <w:color w:val="FF0000"/>
          <w:sz w:val="96"/>
          <w:szCs w:val="96"/>
        </w:rPr>
        <w:drawing>
          <wp:anchor distT="0" distB="0" distL="114300" distR="114300" simplePos="0" relativeHeight="251661312" behindDoc="0" locked="0" layoutInCell="1" allowOverlap="1">
            <wp:simplePos x="0" y="0"/>
            <wp:positionH relativeFrom="column">
              <wp:posOffset>-457200</wp:posOffset>
            </wp:positionH>
            <wp:positionV relativeFrom="paragraph">
              <wp:posOffset>56515</wp:posOffset>
            </wp:positionV>
            <wp:extent cx="1138555" cy="1127125"/>
            <wp:effectExtent l="19050" t="0" r="4445" b="0"/>
            <wp:wrapThrough wrapText="bothSides">
              <wp:wrapPolygon edited="0">
                <wp:start x="-361" y="0"/>
                <wp:lineTo x="-361" y="21174"/>
                <wp:lineTo x="21684" y="21174"/>
                <wp:lineTo x="21684" y="0"/>
                <wp:lineTo x="-361" y="0"/>
              </wp:wrapPolygon>
            </wp:wrapThrough>
            <wp:docPr id="3" name="Resim 3" descr="log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
                    <pic:cNvPicPr>
                      <a:picLocks noChangeAspect="1" noChangeArrowheads="1"/>
                    </pic:cNvPicPr>
                  </pic:nvPicPr>
                  <pic:blipFill>
                    <a:blip r:embed="rId9" cstate="print"/>
                    <a:srcRect/>
                    <a:stretch>
                      <a:fillRect/>
                    </a:stretch>
                  </pic:blipFill>
                  <pic:spPr bwMode="auto">
                    <a:xfrm>
                      <a:off x="0" y="0"/>
                      <a:ext cx="1138555" cy="1127125"/>
                    </a:xfrm>
                    <a:prstGeom prst="rect">
                      <a:avLst/>
                    </a:prstGeom>
                    <a:noFill/>
                    <a:ln w="9525">
                      <a:noFill/>
                      <a:miter lim="800000"/>
                      <a:headEnd/>
                      <a:tailEnd/>
                    </a:ln>
                  </pic:spPr>
                </pic:pic>
              </a:graphicData>
            </a:graphic>
          </wp:anchor>
        </w:drawing>
      </w:r>
      <w:r>
        <w:rPr>
          <w:rFonts w:ascii="00362" w:hAnsi="00362"/>
          <w:noProof/>
          <w:color w:val="FF0000"/>
          <w:sz w:val="96"/>
          <w:szCs w:val="96"/>
        </w:rPr>
        <w:drawing>
          <wp:anchor distT="0" distB="0" distL="114300" distR="114300" simplePos="0" relativeHeight="251660288" behindDoc="0" locked="0" layoutInCell="1" allowOverlap="1">
            <wp:simplePos x="0" y="0"/>
            <wp:positionH relativeFrom="column">
              <wp:posOffset>4152900</wp:posOffset>
            </wp:positionH>
            <wp:positionV relativeFrom="paragraph">
              <wp:posOffset>0</wp:posOffset>
            </wp:positionV>
            <wp:extent cx="1099185" cy="1112520"/>
            <wp:effectExtent l="19050" t="0" r="5715"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099185" cy="1112520"/>
                    </a:xfrm>
                    <a:prstGeom prst="rect">
                      <a:avLst/>
                    </a:prstGeom>
                    <a:noFill/>
                    <a:ln w="9525">
                      <a:noFill/>
                      <a:miter lim="800000"/>
                      <a:headEnd/>
                      <a:tailEnd/>
                    </a:ln>
                  </pic:spPr>
                </pic:pic>
              </a:graphicData>
            </a:graphic>
          </wp:anchor>
        </w:drawing>
      </w:r>
      <w:r>
        <w:rPr>
          <w:rFonts w:ascii="Impact" w:hAnsi="Impact"/>
          <w:color w:val="FF0000"/>
          <w:sz w:val="96"/>
          <w:szCs w:val="96"/>
        </w:rPr>
        <w:t xml:space="preserve">         </w:t>
      </w:r>
      <w:r w:rsidRPr="003C6C89">
        <w:rPr>
          <w:rFonts w:ascii="Impact" w:hAnsi="Impact"/>
          <w:color w:val="FF0000"/>
          <w:sz w:val="96"/>
          <w:szCs w:val="96"/>
        </w:rPr>
        <w:t>Eğitim</w:t>
      </w:r>
      <w:r w:rsidRPr="003C6C89">
        <w:rPr>
          <w:rFonts w:ascii="Impact" w:hAnsi="Impact"/>
          <w:color w:val="3366FF"/>
          <w:sz w:val="96"/>
          <w:szCs w:val="96"/>
        </w:rPr>
        <w:t>iş</w:t>
      </w:r>
    </w:p>
    <w:p w:rsidR="00095F87" w:rsidRDefault="00095F87" w:rsidP="00095F87">
      <w:pPr>
        <w:pStyle w:val="Balk1"/>
        <w:spacing w:before="120" w:after="120"/>
        <w:rPr>
          <w:sz w:val="36"/>
          <w:szCs w:val="24"/>
        </w:rPr>
      </w:pPr>
      <w:r>
        <w:rPr>
          <w:sz w:val="28"/>
          <w:szCs w:val="28"/>
        </w:rPr>
        <w:t xml:space="preserve">        </w:t>
      </w:r>
      <w:r w:rsidRPr="00CC63CA">
        <w:rPr>
          <w:sz w:val="28"/>
          <w:szCs w:val="28"/>
        </w:rPr>
        <w:t xml:space="preserve">Eğitim ve Bilim </w:t>
      </w:r>
      <w:proofErr w:type="spellStart"/>
      <w:r w:rsidRPr="00CC63CA">
        <w:rPr>
          <w:sz w:val="28"/>
          <w:szCs w:val="28"/>
        </w:rPr>
        <w:t>İşgörenleri</w:t>
      </w:r>
      <w:proofErr w:type="spellEnd"/>
      <w:r w:rsidRPr="00CC63CA">
        <w:rPr>
          <w:sz w:val="28"/>
          <w:szCs w:val="28"/>
        </w:rPr>
        <w:t xml:space="preserve"> Sendikası</w:t>
      </w:r>
    </w:p>
    <w:p w:rsidR="00095F87" w:rsidRDefault="00095F87" w:rsidP="00095F87">
      <w:pPr>
        <w:pStyle w:val="Balk1"/>
        <w:spacing w:before="120" w:after="120"/>
      </w:pPr>
      <w:r>
        <w:t xml:space="preserve">                    GENEL MERKEZİ</w:t>
      </w:r>
    </w:p>
    <w:p w:rsidR="00095F87" w:rsidRPr="00EE5CA0" w:rsidRDefault="00095F87" w:rsidP="00095F87">
      <w:pPr>
        <w:ind w:left="7788"/>
        <w:rPr>
          <w:sz w:val="24"/>
          <w:szCs w:val="24"/>
        </w:rPr>
      </w:pPr>
      <w:r w:rsidRPr="004B2C06">
        <w:t xml:space="preserve">                                                                                 </w:t>
      </w:r>
      <w:r>
        <w:t xml:space="preserve">                                                                                        </w:t>
      </w:r>
      <w:r w:rsidR="003F0CF5">
        <w:rPr>
          <w:sz w:val="24"/>
          <w:szCs w:val="24"/>
        </w:rPr>
        <w:t>21</w:t>
      </w:r>
      <w:r w:rsidRPr="007044EE">
        <w:rPr>
          <w:sz w:val="24"/>
          <w:szCs w:val="24"/>
        </w:rPr>
        <w:t>.</w:t>
      </w:r>
      <w:r w:rsidR="003F0CF5">
        <w:rPr>
          <w:sz w:val="24"/>
          <w:szCs w:val="24"/>
        </w:rPr>
        <w:t>10.2021</w:t>
      </w:r>
      <w:r>
        <w:rPr>
          <w:b/>
          <w:sz w:val="32"/>
          <w:szCs w:val="32"/>
        </w:rPr>
        <w:t xml:space="preserve">                    </w:t>
      </w:r>
    </w:p>
    <w:p w:rsidR="00AF63F2" w:rsidRPr="00AB5979" w:rsidRDefault="00AF63F2" w:rsidP="00AF63F2">
      <w:pPr>
        <w:spacing w:line="360" w:lineRule="auto"/>
        <w:jc w:val="center"/>
        <w:rPr>
          <w:b/>
          <w:sz w:val="24"/>
          <w:szCs w:val="24"/>
        </w:rPr>
      </w:pPr>
      <w:r w:rsidRPr="00AB5979">
        <w:rPr>
          <w:b/>
          <w:sz w:val="24"/>
          <w:szCs w:val="24"/>
        </w:rPr>
        <w:t>MEB'İN BÜTÇESİ PARALEL EVRENDEKİ TÜRKİYE İÇİN BELİRLENMİŞTİR</w:t>
      </w:r>
    </w:p>
    <w:p w:rsidR="00AF63F2" w:rsidRPr="00AB5979" w:rsidRDefault="00AF63F2" w:rsidP="00AF63F2">
      <w:pPr>
        <w:spacing w:line="360" w:lineRule="auto"/>
        <w:rPr>
          <w:sz w:val="24"/>
          <w:szCs w:val="24"/>
        </w:rPr>
      </w:pPr>
    </w:p>
    <w:p w:rsidR="004B712F" w:rsidRDefault="004B712F" w:rsidP="00AB271C">
      <w:pPr>
        <w:spacing w:line="360" w:lineRule="auto"/>
        <w:jc w:val="both"/>
        <w:rPr>
          <w:sz w:val="24"/>
          <w:szCs w:val="24"/>
        </w:rPr>
      </w:pPr>
      <w:r w:rsidRPr="004B712F">
        <w:rPr>
          <w:sz w:val="24"/>
          <w:szCs w:val="24"/>
        </w:rPr>
        <w:t>İktidar bloğunun "ekonomi şahlanıyor" söylemi gölgesinde başlayan TBMM'deki bütçe görüşmeleri, eğitim alanı için izah edilemez şekilde ilerlemiştir.2022 yılı merkezi yönetim bütçesinin 1 trilyon 750 milyar 957 milyon olması öngörülmüştür. Milli Eğitim Bakanlığı, Yükseköğretim Kurulu, Yükseköğretim Kalite Kurulu, Gençlik ve Spor İl Müdürlükleri bütçeleri toplamı 2022 yılı için 273,5 milyar TL, Milli Eğitim Bakanlığı bütçesi ise 189 milyar 10 milyon TL olarak belirlenmiştir.</w:t>
      </w:r>
    </w:p>
    <w:p w:rsidR="00AF63F2" w:rsidRPr="00AB5979" w:rsidRDefault="00AF63F2" w:rsidP="00AB271C">
      <w:pPr>
        <w:spacing w:line="360" w:lineRule="auto"/>
        <w:jc w:val="both"/>
        <w:rPr>
          <w:sz w:val="24"/>
          <w:szCs w:val="24"/>
        </w:rPr>
      </w:pPr>
      <w:r w:rsidRPr="00AB5979">
        <w:rPr>
          <w:sz w:val="24"/>
          <w:szCs w:val="24"/>
        </w:rPr>
        <w:t>Yani;</w:t>
      </w:r>
    </w:p>
    <w:p w:rsidR="00AF63F2" w:rsidRDefault="00AF63F2" w:rsidP="00AB271C">
      <w:pPr>
        <w:spacing w:line="360" w:lineRule="auto"/>
        <w:jc w:val="both"/>
        <w:rPr>
          <w:sz w:val="24"/>
          <w:szCs w:val="24"/>
        </w:rPr>
      </w:pPr>
      <w:r>
        <w:rPr>
          <w:sz w:val="24"/>
          <w:szCs w:val="24"/>
        </w:rPr>
        <w:t>-</w:t>
      </w:r>
      <w:r w:rsidRPr="00AB5979">
        <w:rPr>
          <w:sz w:val="24"/>
          <w:szCs w:val="24"/>
        </w:rPr>
        <w:t>Eğitimin uzaktan yürütülmeye çalışıldığı dönemde aldığı ağır yaralara, </w:t>
      </w:r>
    </w:p>
    <w:p w:rsidR="00AF63F2" w:rsidRPr="00AB5979" w:rsidRDefault="00AF63F2" w:rsidP="00AB271C">
      <w:pPr>
        <w:spacing w:line="360" w:lineRule="auto"/>
        <w:jc w:val="both"/>
        <w:rPr>
          <w:sz w:val="24"/>
          <w:szCs w:val="24"/>
        </w:rPr>
      </w:pPr>
      <w:r>
        <w:rPr>
          <w:sz w:val="24"/>
          <w:szCs w:val="24"/>
        </w:rPr>
        <w:t>-</w:t>
      </w:r>
      <w:r w:rsidRPr="00AB5979">
        <w:rPr>
          <w:sz w:val="24"/>
          <w:szCs w:val="24"/>
        </w:rPr>
        <w:t>Yeni derslik inşaları için gereken ek harcamalara,</w:t>
      </w:r>
    </w:p>
    <w:p w:rsidR="00AF63F2" w:rsidRPr="00AB5979" w:rsidRDefault="00AF63F2" w:rsidP="00AB271C">
      <w:pPr>
        <w:spacing w:line="360" w:lineRule="auto"/>
        <w:jc w:val="both"/>
        <w:rPr>
          <w:sz w:val="24"/>
          <w:szCs w:val="24"/>
        </w:rPr>
      </w:pPr>
      <w:r>
        <w:rPr>
          <w:sz w:val="24"/>
          <w:szCs w:val="24"/>
        </w:rPr>
        <w:t>-</w:t>
      </w:r>
      <w:proofErr w:type="spellStart"/>
      <w:r w:rsidRPr="00AB5979">
        <w:rPr>
          <w:sz w:val="24"/>
          <w:szCs w:val="24"/>
        </w:rPr>
        <w:t>Pandemi</w:t>
      </w:r>
      <w:proofErr w:type="spellEnd"/>
      <w:r w:rsidRPr="00AB5979">
        <w:rPr>
          <w:sz w:val="24"/>
          <w:szCs w:val="24"/>
        </w:rPr>
        <w:t xml:space="preserve"> nedeniyle sınıflar seyreltildiğinde doğacak fazladan  öğretmen ihtiyacını karşılamak için yapılacak atamalarına harcanacak tutara, </w:t>
      </w:r>
    </w:p>
    <w:p w:rsidR="00AF63F2" w:rsidRPr="00AB5979" w:rsidRDefault="00AF63F2" w:rsidP="00AB271C">
      <w:pPr>
        <w:spacing w:line="360" w:lineRule="auto"/>
        <w:jc w:val="both"/>
        <w:rPr>
          <w:sz w:val="24"/>
          <w:szCs w:val="24"/>
        </w:rPr>
      </w:pPr>
      <w:r>
        <w:rPr>
          <w:sz w:val="24"/>
          <w:szCs w:val="24"/>
        </w:rPr>
        <w:t>-</w:t>
      </w:r>
      <w:proofErr w:type="spellStart"/>
      <w:r w:rsidRPr="00AB5979">
        <w:rPr>
          <w:sz w:val="24"/>
          <w:szCs w:val="24"/>
        </w:rPr>
        <w:t>Pandemi</w:t>
      </w:r>
      <w:proofErr w:type="spellEnd"/>
      <w:r w:rsidRPr="00AB5979">
        <w:rPr>
          <w:sz w:val="24"/>
          <w:szCs w:val="24"/>
        </w:rPr>
        <w:t xml:space="preserve"> nedeniyle okulları daha </w:t>
      </w:r>
      <w:proofErr w:type="gramStart"/>
      <w:r w:rsidRPr="00AB5979">
        <w:rPr>
          <w:sz w:val="24"/>
          <w:szCs w:val="24"/>
        </w:rPr>
        <w:t>hijyenik</w:t>
      </w:r>
      <w:proofErr w:type="gramEnd"/>
      <w:r w:rsidRPr="00AB5979">
        <w:rPr>
          <w:sz w:val="24"/>
          <w:szCs w:val="24"/>
        </w:rPr>
        <w:t xml:space="preserve"> hale getirecek kadrolu yardımcı personel atamaları için harcanacak tutara, salgın daha da ağırlaşıp eğitim tekrar uzaktan hale gelirse EBA denen virane sistemi güçlendirmek için yapılacak harcamalara karşılık gelmeyen bir bütçe belirlenmiştir.</w:t>
      </w:r>
    </w:p>
    <w:p w:rsidR="00AF63F2" w:rsidRPr="00AB5979" w:rsidRDefault="00AF63F2" w:rsidP="00AB271C">
      <w:pPr>
        <w:spacing w:line="360" w:lineRule="auto"/>
        <w:jc w:val="both"/>
        <w:rPr>
          <w:sz w:val="24"/>
          <w:szCs w:val="24"/>
        </w:rPr>
      </w:pPr>
      <w:r w:rsidRPr="00AB5979">
        <w:rPr>
          <w:sz w:val="24"/>
          <w:szCs w:val="24"/>
        </w:rPr>
        <w:t xml:space="preserve">Bütçeden Milli Eğitim Bakanlığı’na ayrılan bu miktar, eğitimin temel ihtiyaçlarını karşılamaktan ve </w:t>
      </w:r>
      <w:proofErr w:type="spellStart"/>
      <w:r w:rsidRPr="00AB5979">
        <w:rPr>
          <w:sz w:val="24"/>
          <w:szCs w:val="24"/>
        </w:rPr>
        <w:t>pandemi</w:t>
      </w:r>
      <w:proofErr w:type="spellEnd"/>
      <w:r w:rsidRPr="00AB5979">
        <w:rPr>
          <w:sz w:val="24"/>
          <w:szCs w:val="24"/>
        </w:rPr>
        <w:t xml:space="preserve"> nedeniyle yaşanan eksiklikleri gidermekten oldukça uzaktı</w:t>
      </w:r>
      <w:r>
        <w:rPr>
          <w:sz w:val="24"/>
          <w:szCs w:val="24"/>
        </w:rPr>
        <w:t>r.</w:t>
      </w:r>
    </w:p>
    <w:p w:rsidR="00AF63F2" w:rsidRPr="00AB5979" w:rsidRDefault="00AF63F2" w:rsidP="00AB271C">
      <w:pPr>
        <w:spacing w:line="360" w:lineRule="auto"/>
        <w:jc w:val="both"/>
        <w:rPr>
          <w:sz w:val="24"/>
          <w:szCs w:val="24"/>
        </w:rPr>
      </w:pPr>
      <w:r w:rsidRPr="00AB5979">
        <w:rPr>
          <w:sz w:val="24"/>
          <w:szCs w:val="24"/>
        </w:rPr>
        <w:t>2022'de eğitimin bütçesinin ayrıntıları şu şekildedir:</w:t>
      </w:r>
      <w:r w:rsidRPr="00AB5979">
        <w:rPr>
          <w:sz w:val="24"/>
          <w:szCs w:val="24"/>
        </w:rPr>
        <w:tab/>
      </w:r>
    </w:p>
    <w:p w:rsidR="00AF63F2" w:rsidRPr="003F0CF5" w:rsidRDefault="00AF63F2" w:rsidP="00AF63F2">
      <w:pPr>
        <w:tabs>
          <w:tab w:val="center" w:pos="4536"/>
        </w:tabs>
        <w:spacing w:before="120" w:line="360" w:lineRule="auto"/>
        <w:jc w:val="both"/>
        <w:rPr>
          <w:rFonts w:ascii="Calibri" w:hAnsi="Calibri" w:cs="Arial"/>
          <w:b/>
          <w:color w:val="000000"/>
          <w:sz w:val="24"/>
          <w:szCs w:val="24"/>
        </w:rPr>
      </w:pPr>
      <w:r w:rsidRPr="00AB5979">
        <w:rPr>
          <w:b/>
          <w:color w:val="000000"/>
          <w:sz w:val="24"/>
          <w:szCs w:val="24"/>
        </w:rPr>
        <w:t>Tablo 1: 2022 Yılı Eğitim Bütçesi</w:t>
      </w:r>
      <w:r w:rsidRPr="00AB5979">
        <w:rPr>
          <w:b/>
          <w:color w:val="000000"/>
          <w:sz w:val="24"/>
          <w:szCs w:val="24"/>
        </w:rPr>
        <w:tab/>
      </w:r>
    </w:p>
    <w:tbl>
      <w:tblPr>
        <w:tblStyle w:val="GridTable1LightAccent1"/>
        <w:tblW w:w="9886" w:type="dxa"/>
        <w:tblLook w:val="04A0" w:firstRow="1" w:lastRow="0" w:firstColumn="1" w:lastColumn="0" w:noHBand="0" w:noVBand="1"/>
      </w:tblPr>
      <w:tblGrid>
        <w:gridCol w:w="4841"/>
        <w:gridCol w:w="5045"/>
      </w:tblGrid>
      <w:tr w:rsidR="00AF63F2" w:rsidRPr="003F0CF5" w:rsidTr="001E486D">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886" w:type="dxa"/>
            <w:gridSpan w:val="2"/>
          </w:tcPr>
          <w:p w:rsidR="00AF63F2" w:rsidRPr="003F0CF5" w:rsidRDefault="00AF63F2" w:rsidP="001E486D">
            <w:pPr>
              <w:spacing w:before="120" w:line="276" w:lineRule="auto"/>
              <w:jc w:val="center"/>
              <w:rPr>
                <w:rFonts w:ascii="Calibri" w:hAnsi="Calibri" w:cs="Arial"/>
                <w:color w:val="000000"/>
                <w:sz w:val="32"/>
                <w:szCs w:val="32"/>
              </w:rPr>
            </w:pPr>
            <w:r w:rsidRPr="003F0CF5">
              <w:rPr>
                <w:rFonts w:ascii="Calibri" w:hAnsi="Calibri" w:cs="Arial"/>
                <w:sz w:val="32"/>
                <w:szCs w:val="32"/>
              </w:rPr>
              <w:t>EĞİTİM BÜTÇESİ</w:t>
            </w:r>
          </w:p>
        </w:tc>
      </w:tr>
      <w:tr w:rsidR="00AF63F2" w:rsidRPr="003F0CF5" w:rsidTr="001E486D">
        <w:trPr>
          <w:trHeight w:val="241"/>
        </w:trPr>
        <w:tc>
          <w:tcPr>
            <w:cnfStyle w:val="001000000000" w:firstRow="0" w:lastRow="0" w:firstColumn="1" w:lastColumn="0" w:oddVBand="0" w:evenVBand="0" w:oddHBand="0" w:evenHBand="0" w:firstRowFirstColumn="0" w:firstRowLastColumn="0" w:lastRowFirstColumn="0" w:lastRowLastColumn="0"/>
            <w:tcW w:w="4841" w:type="dxa"/>
          </w:tcPr>
          <w:p w:rsidR="00AF63F2" w:rsidRPr="003F0CF5" w:rsidRDefault="00AF63F2" w:rsidP="001E486D">
            <w:pPr>
              <w:spacing w:before="120" w:line="276" w:lineRule="auto"/>
              <w:jc w:val="center"/>
              <w:rPr>
                <w:rFonts w:ascii="Calibri" w:hAnsi="Calibri" w:cs="Arial"/>
                <w:sz w:val="24"/>
                <w:szCs w:val="24"/>
              </w:rPr>
            </w:pPr>
            <w:r w:rsidRPr="003F0CF5">
              <w:rPr>
                <w:rFonts w:ascii="Calibri" w:hAnsi="Calibri" w:cs="Arial"/>
                <w:sz w:val="24"/>
                <w:szCs w:val="24"/>
              </w:rPr>
              <w:t>Milli Eğitim</w:t>
            </w:r>
          </w:p>
        </w:tc>
        <w:tc>
          <w:tcPr>
            <w:tcW w:w="5045" w:type="dxa"/>
          </w:tcPr>
          <w:p w:rsidR="00AF63F2" w:rsidRPr="003F0CF5" w:rsidRDefault="00AF63F2" w:rsidP="001E486D">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3F0CF5">
              <w:rPr>
                <w:rFonts w:ascii="Calibri" w:hAnsi="Calibri" w:cs="Arial"/>
                <w:sz w:val="24"/>
                <w:szCs w:val="24"/>
              </w:rPr>
              <w:t>189.010.851.000 TL</w:t>
            </w:r>
          </w:p>
        </w:tc>
      </w:tr>
      <w:tr w:rsidR="00AF63F2" w:rsidRPr="003F0CF5" w:rsidTr="001E486D">
        <w:trPr>
          <w:trHeight w:val="490"/>
        </w:trPr>
        <w:tc>
          <w:tcPr>
            <w:cnfStyle w:val="001000000000" w:firstRow="0" w:lastRow="0" w:firstColumn="1" w:lastColumn="0" w:oddVBand="0" w:evenVBand="0" w:oddHBand="0" w:evenHBand="0" w:firstRowFirstColumn="0" w:firstRowLastColumn="0" w:lastRowFirstColumn="0" w:lastRowLastColumn="0"/>
            <w:tcW w:w="4841" w:type="dxa"/>
          </w:tcPr>
          <w:p w:rsidR="00AF63F2" w:rsidRPr="003F0CF5" w:rsidRDefault="00AF63F2" w:rsidP="001E486D">
            <w:pPr>
              <w:spacing w:before="120" w:line="276" w:lineRule="auto"/>
              <w:jc w:val="center"/>
              <w:rPr>
                <w:rFonts w:ascii="Calibri" w:hAnsi="Calibri" w:cs="Arial"/>
                <w:sz w:val="24"/>
                <w:szCs w:val="24"/>
              </w:rPr>
            </w:pPr>
            <w:r w:rsidRPr="003F0CF5">
              <w:rPr>
                <w:rFonts w:ascii="Calibri" w:hAnsi="Calibri" w:cs="Arial"/>
                <w:sz w:val="24"/>
                <w:szCs w:val="24"/>
              </w:rPr>
              <w:t>YÖK ve Üniversiteler</w:t>
            </w:r>
          </w:p>
        </w:tc>
        <w:tc>
          <w:tcPr>
            <w:tcW w:w="5045" w:type="dxa"/>
          </w:tcPr>
          <w:p w:rsidR="00AF63F2" w:rsidRPr="003F0CF5" w:rsidRDefault="00AF63F2" w:rsidP="001E486D">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3F0CF5">
              <w:rPr>
                <w:rFonts w:ascii="Calibri" w:hAnsi="Calibri" w:cs="Arial"/>
                <w:sz w:val="24"/>
                <w:szCs w:val="24"/>
              </w:rPr>
              <w:t>57.739.883.000 TL</w:t>
            </w:r>
          </w:p>
        </w:tc>
      </w:tr>
      <w:tr w:rsidR="00AF63F2" w:rsidRPr="003F0CF5" w:rsidTr="001E486D">
        <w:trPr>
          <w:trHeight w:val="296"/>
        </w:trPr>
        <w:tc>
          <w:tcPr>
            <w:cnfStyle w:val="001000000000" w:firstRow="0" w:lastRow="0" w:firstColumn="1" w:lastColumn="0" w:oddVBand="0" w:evenVBand="0" w:oddHBand="0" w:evenHBand="0" w:firstRowFirstColumn="0" w:firstRowLastColumn="0" w:lastRowFirstColumn="0" w:lastRowLastColumn="0"/>
            <w:tcW w:w="4841" w:type="dxa"/>
          </w:tcPr>
          <w:p w:rsidR="00AF63F2" w:rsidRPr="003F0CF5" w:rsidRDefault="00AF63F2" w:rsidP="001E486D">
            <w:pPr>
              <w:spacing w:before="120" w:line="276" w:lineRule="auto"/>
              <w:jc w:val="center"/>
              <w:rPr>
                <w:rFonts w:ascii="Calibri" w:hAnsi="Calibri" w:cs="Arial"/>
                <w:sz w:val="24"/>
                <w:szCs w:val="24"/>
              </w:rPr>
            </w:pPr>
            <w:r w:rsidRPr="003F0CF5">
              <w:rPr>
                <w:rFonts w:ascii="Calibri" w:hAnsi="Calibri" w:cs="Arial"/>
                <w:sz w:val="24"/>
                <w:szCs w:val="24"/>
              </w:rPr>
              <w:t>ÖSYM</w:t>
            </w:r>
          </w:p>
        </w:tc>
        <w:tc>
          <w:tcPr>
            <w:tcW w:w="5045" w:type="dxa"/>
          </w:tcPr>
          <w:p w:rsidR="00AF63F2" w:rsidRPr="003F0CF5" w:rsidRDefault="00AF63F2" w:rsidP="001E486D">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3F0CF5">
              <w:rPr>
                <w:rFonts w:ascii="Calibri" w:hAnsi="Calibri" w:cs="Arial"/>
                <w:sz w:val="24"/>
                <w:szCs w:val="24"/>
              </w:rPr>
              <w:t>931.623.000 TL</w:t>
            </w:r>
          </w:p>
        </w:tc>
      </w:tr>
      <w:tr w:rsidR="00AF63F2" w:rsidRPr="003F0CF5" w:rsidTr="001E486D">
        <w:trPr>
          <w:trHeight w:val="296"/>
        </w:trPr>
        <w:tc>
          <w:tcPr>
            <w:cnfStyle w:val="001000000000" w:firstRow="0" w:lastRow="0" w:firstColumn="1" w:lastColumn="0" w:oddVBand="0" w:evenVBand="0" w:oddHBand="0" w:evenHBand="0" w:firstRowFirstColumn="0" w:firstRowLastColumn="0" w:lastRowFirstColumn="0" w:lastRowLastColumn="0"/>
            <w:tcW w:w="4841" w:type="dxa"/>
          </w:tcPr>
          <w:p w:rsidR="00AF63F2" w:rsidRPr="003F0CF5" w:rsidRDefault="00AF63F2" w:rsidP="001E486D">
            <w:pPr>
              <w:spacing w:before="120" w:line="276" w:lineRule="auto"/>
              <w:jc w:val="center"/>
              <w:rPr>
                <w:rFonts w:ascii="Calibri" w:hAnsi="Calibri" w:cs="Arial"/>
                <w:sz w:val="24"/>
                <w:szCs w:val="24"/>
              </w:rPr>
            </w:pPr>
            <w:r w:rsidRPr="003F0CF5">
              <w:rPr>
                <w:rFonts w:ascii="Calibri" w:hAnsi="Calibri" w:cs="Arial"/>
                <w:sz w:val="24"/>
                <w:szCs w:val="24"/>
              </w:rPr>
              <w:lastRenderedPageBreak/>
              <w:t>Gençlik ve Spor Bakanlığı-Yükseköğretim</w:t>
            </w:r>
          </w:p>
        </w:tc>
        <w:tc>
          <w:tcPr>
            <w:tcW w:w="5045" w:type="dxa"/>
          </w:tcPr>
          <w:p w:rsidR="00AF63F2" w:rsidRPr="003F0CF5" w:rsidRDefault="00AF63F2" w:rsidP="001E486D">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3F0CF5">
              <w:rPr>
                <w:rFonts w:ascii="Calibri" w:hAnsi="Calibri" w:cs="Arial"/>
                <w:sz w:val="24"/>
                <w:szCs w:val="24"/>
              </w:rPr>
              <w:t>22.886.617.000 TL</w:t>
            </w:r>
          </w:p>
        </w:tc>
      </w:tr>
      <w:tr w:rsidR="00AF63F2" w:rsidRPr="003F0CF5" w:rsidTr="001E486D">
        <w:trPr>
          <w:trHeight w:val="296"/>
        </w:trPr>
        <w:tc>
          <w:tcPr>
            <w:cnfStyle w:val="001000000000" w:firstRow="0" w:lastRow="0" w:firstColumn="1" w:lastColumn="0" w:oddVBand="0" w:evenVBand="0" w:oddHBand="0" w:evenHBand="0" w:firstRowFirstColumn="0" w:firstRowLastColumn="0" w:lastRowFirstColumn="0" w:lastRowLastColumn="0"/>
            <w:tcW w:w="4841" w:type="dxa"/>
          </w:tcPr>
          <w:p w:rsidR="00AF63F2" w:rsidRPr="003F0CF5" w:rsidRDefault="00AF63F2" w:rsidP="001E486D">
            <w:pPr>
              <w:spacing w:before="120" w:line="276" w:lineRule="auto"/>
              <w:jc w:val="center"/>
              <w:rPr>
                <w:rFonts w:ascii="Calibri" w:hAnsi="Calibri" w:cs="Arial"/>
                <w:sz w:val="24"/>
                <w:szCs w:val="24"/>
              </w:rPr>
            </w:pPr>
            <w:r w:rsidRPr="003F0CF5">
              <w:rPr>
                <w:rFonts w:ascii="Calibri" w:hAnsi="Calibri" w:cs="Arial"/>
                <w:sz w:val="24"/>
                <w:szCs w:val="24"/>
              </w:rPr>
              <w:t>Diğer</w:t>
            </w:r>
          </w:p>
        </w:tc>
        <w:tc>
          <w:tcPr>
            <w:tcW w:w="5045" w:type="dxa"/>
          </w:tcPr>
          <w:p w:rsidR="00AF63F2" w:rsidRPr="003F0CF5" w:rsidRDefault="00AF63F2" w:rsidP="001E486D">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3F0CF5">
              <w:rPr>
                <w:rFonts w:ascii="Calibri" w:hAnsi="Calibri" w:cs="Arial"/>
                <w:sz w:val="24"/>
                <w:szCs w:val="24"/>
              </w:rPr>
              <w:t>2.931.026.000 TL</w:t>
            </w:r>
          </w:p>
        </w:tc>
      </w:tr>
      <w:tr w:rsidR="00AF63F2" w:rsidRPr="003F0CF5" w:rsidTr="001E486D">
        <w:trPr>
          <w:trHeight w:val="303"/>
        </w:trPr>
        <w:tc>
          <w:tcPr>
            <w:cnfStyle w:val="001000000000" w:firstRow="0" w:lastRow="0" w:firstColumn="1" w:lastColumn="0" w:oddVBand="0" w:evenVBand="0" w:oddHBand="0" w:evenHBand="0" w:firstRowFirstColumn="0" w:firstRowLastColumn="0" w:lastRowFirstColumn="0" w:lastRowLastColumn="0"/>
            <w:tcW w:w="4841" w:type="dxa"/>
          </w:tcPr>
          <w:p w:rsidR="00AF63F2" w:rsidRPr="003F0CF5" w:rsidRDefault="00AF63F2" w:rsidP="001E486D">
            <w:pPr>
              <w:spacing w:before="120" w:line="276" w:lineRule="auto"/>
              <w:jc w:val="center"/>
              <w:rPr>
                <w:rFonts w:ascii="Calibri" w:hAnsi="Calibri" w:cs="Arial"/>
                <w:sz w:val="24"/>
                <w:szCs w:val="24"/>
              </w:rPr>
            </w:pPr>
            <w:r w:rsidRPr="003F0CF5">
              <w:rPr>
                <w:rFonts w:ascii="Calibri" w:hAnsi="Calibri" w:cs="Arial"/>
                <w:sz w:val="24"/>
                <w:szCs w:val="24"/>
              </w:rPr>
              <w:t>TOPLAM</w:t>
            </w:r>
          </w:p>
        </w:tc>
        <w:tc>
          <w:tcPr>
            <w:tcW w:w="5045" w:type="dxa"/>
          </w:tcPr>
          <w:p w:rsidR="00AF63F2" w:rsidRPr="003F0CF5" w:rsidRDefault="00AF63F2" w:rsidP="001E486D">
            <w:pPr>
              <w:spacing w:before="120"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Arial"/>
                <w:b/>
                <w:color w:val="000000"/>
                <w:sz w:val="24"/>
                <w:szCs w:val="24"/>
              </w:rPr>
            </w:pPr>
            <w:r w:rsidRPr="003F0CF5">
              <w:rPr>
                <w:rFonts w:ascii="Calibri" w:hAnsi="Calibri" w:cs="Arial"/>
                <w:b/>
                <w:color w:val="000000"/>
                <w:sz w:val="24"/>
                <w:szCs w:val="24"/>
              </w:rPr>
              <w:t>273.500.000.000</w:t>
            </w:r>
          </w:p>
        </w:tc>
      </w:tr>
    </w:tbl>
    <w:p w:rsidR="00AF63F2" w:rsidRPr="003F0CF5" w:rsidRDefault="00AF63F2" w:rsidP="00AF63F2">
      <w:pPr>
        <w:spacing w:before="120" w:line="276" w:lineRule="auto"/>
        <w:ind w:left="-14"/>
        <w:jc w:val="both"/>
        <w:rPr>
          <w:rFonts w:ascii="Calibri" w:hAnsi="Calibri" w:cs="Arial"/>
          <w:b/>
          <w:color w:val="000000"/>
          <w:sz w:val="16"/>
          <w:szCs w:val="16"/>
        </w:rPr>
      </w:pPr>
      <w:r w:rsidRPr="003F0CF5">
        <w:rPr>
          <w:rFonts w:ascii="Calibri" w:hAnsi="Calibri" w:cs="Arial"/>
          <w:b/>
          <w:color w:val="000000"/>
          <w:sz w:val="16"/>
          <w:szCs w:val="16"/>
        </w:rPr>
        <w:t>Kaynak: Hazine ve Maliye Bakanlığı</w:t>
      </w:r>
    </w:p>
    <w:p w:rsidR="00AF63F2" w:rsidRDefault="00AF63F2" w:rsidP="00AF63F2">
      <w:pPr>
        <w:spacing w:line="360" w:lineRule="auto"/>
      </w:pPr>
    </w:p>
    <w:p w:rsidR="00AF63F2" w:rsidRPr="00AB5979" w:rsidRDefault="00AF63F2" w:rsidP="00AF63F2">
      <w:pPr>
        <w:spacing w:line="360" w:lineRule="auto"/>
        <w:rPr>
          <w:b/>
          <w:sz w:val="24"/>
          <w:szCs w:val="24"/>
        </w:rPr>
      </w:pPr>
      <w:r w:rsidRPr="00AB5979">
        <w:rPr>
          <w:b/>
          <w:sz w:val="24"/>
          <w:szCs w:val="24"/>
        </w:rPr>
        <w:t>GENEL BÜTÇEDEN EĞİTİME AYRILAN PAY ERİDİ</w:t>
      </w:r>
    </w:p>
    <w:p w:rsidR="00AF63F2" w:rsidRPr="00AB5979" w:rsidRDefault="00AF63F2" w:rsidP="00AB271C">
      <w:pPr>
        <w:spacing w:line="360" w:lineRule="auto"/>
        <w:jc w:val="both"/>
        <w:rPr>
          <w:sz w:val="24"/>
          <w:szCs w:val="24"/>
        </w:rPr>
      </w:pPr>
      <w:r w:rsidRPr="00AB5979">
        <w:rPr>
          <w:sz w:val="24"/>
          <w:szCs w:val="24"/>
        </w:rPr>
        <w:t xml:space="preserve">MEB'e ayrılan bu bütçeyi havuz medya, "en büyük pay eğitime gitti" başlıklarıyla sunsa da, rakamlar aksini göstermektedir. Çünkü eğitim bütçesinin merkez bütçeye olan oranındaki değişim, </w:t>
      </w:r>
      <w:proofErr w:type="spellStart"/>
      <w:r w:rsidRPr="00AB5979">
        <w:rPr>
          <w:sz w:val="24"/>
          <w:szCs w:val="24"/>
        </w:rPr>
        <w:t>pandemiye</w:t>
      </w:r>
      <w:proofErr w:type="spellEnd"/>
      <w:r w:rsidRPr="00AB5979">
        <w:rPr>
          <w:sz w:val="24"/>
          <w:szCs w:val="24"/>
        </w:rPr>
        <w:t xml:space="preserve"> rağmen a</w:t>
      </w:r>
      <w:r w:rsidR="00AB271C">
        <w:rPr>
          <w:sz w:val="24"/>
          <w:szCs w:val="24"/>
        </w:rPr>
        <w:t>şağı bir ivmeyle seyretmiştir. </w:t>
      </w:r>
      <w:r w:rsidRPr="00AB5979">
        <w:rPr>
          <w:sz w:val="24"/>
          <w:szCs w:val="24"/>
        </w:rPr>
        <w:t>AKP'nin iktidara geldiği 2002'de MEB bütçesinin merkez bütçeye oranı yüzde 22 iken 2022'deki MEB bütçesinin merkez bütçeye oranı yüzde 11'dir. Yani 20 yılda eğitime ayrılan bütçe, tam yüzde 50 erimiştir. </w:t>
      </w:r>
    </w:p>
    <w:p w:rsidR="00AF63F2" w:rsidRPr="00AB5979" w:rsidRDefault="00AF63F2" w:rsidP="00AF63F2">
      <w:pPr>
        <w:spacing w:before="120" w:line="276" w:lineRule="auto"/>
        <w:jc w:val="both"/>
        <w:rPr>
          <w:rFonts w:ascii="Calibri" w:hAnsi="Calibri" w:cs="Arial"/>
          <w:b/>
          <w:color w:val="000000"/>
          <w:sz w:val="24"/>
          <w:szCs w:val="24"/>
        </w:rPr>
      </w:pPr>
      <w:r w:rsidRPr="00AB5979">
        <w:rPr>
          <w:rFonts w:ascii="Calibri" w:hAnsi="Calibri" w:cs="Arial"/>
          <w:b/>
          <w:color w:val="000000"/>
          <w:sz w:val="24"/>
          <w:szCs w:val="24"/>
        </w:rPr>
        <w:t>Grafik 1. Eğitim Bütçesinin GSYH ve Merkezi Yönetim Bütçesine Oranı</w:t>
      </w:r>
    </w:p>
    <w:p w:rsidR="00AF63F2" w:rsidRDefault="00AF63F2" w:rsidP="00AF63F2">
      <w:bookmarkStart w:id="0" w:name="_GoBack"/>
      <w:r w:rsidRPr="003F0CF5">
        <w:rPr>
          <w:rFonts w:ascii="Calibri" w:eastAsia="Calibri" w:hAnsi="Calibri"/>
          <w:noProof/>
          <w:sz w:val="22"/>
          <w:szCs w:val="22"/>
        </w:rPr>
        <w:drawing>
          <wp:inline distT="0" distB="0" distL="0" distR="0" wp14:anchorId="1D066395" wp14:editId="1927099F">
            <wp:extent cx="5760720" cy="2598490"/>
            <wp:effectExtent l="0" t="0" r="11430" b="1143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0"/>
    </w:p>
    <w:p w:rsidR="00AF63F2" w:rsidRDefault="00AF63F2" w:rsidP="00AF63F2"/>
    <w:p w:rsidR="00AF63F2" w:rsidRPr="00AB5979" w:rsidRDefault="00AF63F2" w:rsidP="00AB271C">
      <w:pPr>
        <w:spacing w:line="360" w:lineRule="auto"/>
        <w:jc w:val="both"/>
        <w:rPr>
          <w:sz w:val="24"/>
          <w:szCs w:val="24"/>
        </w:rPr>
      </w:pPr>
      <w:r w:rsidRPr="00AB5979">
        <w:rPr>
          <w:sz w:val="24"/>
          <w:szCs w:val="24"/>
        </w:rPr>
        <w:t>Merkezi Yönetim Bütçesinden 2022 yılında eğitime 273,5 milyar lira ödenek ayrılmıştır. Ayrılan bu ödenek, 1 trilyon 750 milyar 957 milyon lira olan Merkezi Yönetim Bütçe ödeneklerinin yüzde 15,6’sı kadar bir büyüklük oluşturmaktadır. </w:t>
      </w:r>
    </w:p>
    <w:p w:rsidR="00AF63F2" w:rsidRDefault="00AF63F2" w:rsidP="00AF63F2">
      <w:pPr>
        <w:rPr>
          <w:b/>
          <w:sz w:val="24"/>
          <w:szCs w:val="24"/>
        </w:rPr>
      </w:pPr>
    </w:p>
    <w:p w:rsidR="00AF63F2" w:rsidRPr="00AB5979" w:rsidRDefault="00AF63F2" w:rsidP="00AF63F2">
      <w:pPr>
        <w:rPr>
          <w:b/>
          <w:sz w:val="24"/>
          <w:szCs w:val="24"/>
        </w:rPr>
      </w:pPr>
      <w:r>
        <w:rPr>
          <w:b/>
          <w:sz w:val="24"/>
          <w:szCs w:val="24"/>
        </w:rPr>
        <w:t>ART</w:t>
      </w:r>
      <w:r w:rsidRPr="00AB5979">
        <w:rPr>
          <w:b/>
          <w:sz w:val="24"/>
          <w:szCs w:val="24"/>
        </w:rPr>
        <w:t xml:space="preserve">MASI GEREKEN YATIRIMLAR AZALACAK </w:t>
      </w:r>
    </w:p>
    <w:p w:rsidR="00AF63F2" w:rsidRPr="003F0CF5" w:rsidRDefault="00AF63F2" w:rsidP="00AF63F2">
      <w:pPr>
        <w:spacing w:line="259" w:lineRule="auto"/>
        <w:rPr>
          <w:rFonts w:ascii="Calibri" w:eastAsia="Calibri" w:hAnsi="Calibri"/>
          <w:b/>
          <w:sz w:val="22"/>
          <w:szCs w:val="22"/>
          <w:lang w:eastAsia="en-US"/>
        </w:rPr>
      </w:pPr>
      <w:r w:rsidRPr="003F0CF5">
        <w:rPr>
          <w:rFonts w:ascii="Calibri" w:eastAsia="Calibri" w:hAnsi="Calibri"/>
          <w:b/>
          <w:sz w:val="22"/>
          <w:szCs w:val="22"/>
          <w:lang w:eastAsia="en-US"/>
        </w:rPr>
        <w:t>Grafik 2. MEB Yatırım Bütçesi</w:t>
      </w:r>
    </w:p>
    <w:p w:rsidR="00AF63F2" w:rsidRDefault="00AF63F2" w:rsidP="00AF63F2">
      <w:r>
        <w:rPr>
          <w:noProof/>
        </w:rPr>
        <w:lastRenderedPageBreak/>
        <w:drawing>
          <wp:inline distT="0" distB="0" distL="0" distR="0" wp14:anchorId="09A8DEF9" wp14:editId="2E7EB180">
            <wp:extent cx="6157595" cy="263398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7595" cy="2633980"/>
                    </a:xfrm>
                    <a:prstGeom prst="rect">
                      <a:avLst/>
                    </a:prstGeom>
                    <a:noFill/>
                  </pic:spPr>
                </pic:pic>
              </a:graphicData>
            </a:graphic>
          </wp:inline>
        </w:drawing>
      </w:r>
    </w:p>
    <w:p w:rsidR="00AF63F2" w:rsidRDefault="00AF63F2" w:rsidP="00AF63F2"/>
    <w:p w:rsidR="00AF63F2" w:rsidRPr="00AB5979" w:rsidRDefault="00AF63F2" w:rsidP="00AF63F2">
      <w:pPr>
        <w:spacing w:line="360" w:lineRule="auto"/>
        <w:jc w:val="both"/>
        <w:rPr>
          <w:sz w:val="24"/>
          <w:szCs w:val="24"/>
        </w:rPr>
      </w:pPr>
      <w:r w:rsidRPr="00AB5979">
        <w:rPr>
          <w:sz w:val="24"/>
          <w:szCs w:val="24"/>
        </w:rPr>
        <w:t>Bütçenin ayrıntıları bize eğitimin hükümet tarafından ne kadar ötelendiğini de resmetmektedir. Bunun en somut göstergelerinden biri de MEB'e yatırım harcamaları için öngörülen bütçedir. AKP’nin iktidara geldiği 2002 yılında MEB bütçesinden eğitim yatırımlarına ayrılan pay % 17,18 iken, 2020 yılı itibariyle bu oran % 4,65’e gerilemiş, 2022 yılında ise %8,05 olması öngörülmüştür. Milli Eğitim Bakanlığı bütçesinden yatırımlara ayrılan pay AKP iktidarı döneminde sürekli azalma eğilimi göstermiştir. 2021 yılına göre kısmi bir artış söz konusu olsa da içinde bulunduğumuz Covid-19 salgınının yaşandığı bu dönemde yatırım bütçesindeki artışın anlamlı olmadığı görülmüştür. </w:t>
      </w:r>
    </w:p>
    <w:p w:rsidR="00AB271C" w:rsidRDefault="00AB271C" w:rsidP="00AF63F2">
      <w:pPr>
        <w:spacing w:line="360" w:lineRule="auto"/>
        <w:jc w:val="both"/>
        <w:rPr>
          <w:b/>
          <w:sz w:val="24"/>
          <w:szCs w:val="24"/>
        </w:rPr>
      </w:pPr>
    </w:p>
    <w:p w:rsidR="00AF63F2" w:rsidRPr="00AB5979" w:rsidRDefault="00AF63F2" w:rsidP="00AF63F2">
      <w:pPr>
        <w:spacing w:line="360" w:lineRule="auto"/>
        <w:jc w:val="both"/>
        <w:rPr>
          <w:sz w:val="24"/>
          <w:szCs w:val="24"/>
        </w:rPr>
      </w:pPr>
      <w:r w:rsidRPr="00224C4A">
        <w:rPr>
          <w:b/>
          <w:sz w:val="24"/>
          <w:szCs w:val="24"/>
        </w:rPr>
        <w:t>BÜTÇENİN YÜZDE 81'İ ZATEN PERSONEL GİDERLER</w:t>
      </w:r>
      <w:r w:rsidRPr="00AB5979">
        <w:rPr>
          <w:sz w:val="24"/>
          <w:szCs w:val="24"/>
        </w:rPr>
        <w:t>İ</w:t>
      </w:r>
    </w:p>
    <w:p w:rsidR="00AF63F2" w:rsidRPr="00AB5979" w:rsidRDefault="00AF63F2" w:rsidP="00AF63F2">
      <w:pPr>
        <w:spacing w:line="360" w:lineRule="auto"/>
        <w:jc w:val="both"/>
        <w:rPr>
          <w:sz w:val="24"/>
          <w:szCs w:val="24"/>
        </w:rPr>
      </w:pPr>
      <w:r w:rsidRPr="00AB5979">
        <w:rPr>
          <w:sz w:val="24"/>
          <w:szCs w:val="24"/>
        </w:rPr>
        <w:t xml:space="preserve">MEB'e verilen bütçenin dağılımına baktığımızda yatırımlar için, atamalar için, eğitimin acil ve kronik sorunlarını çözmek için, ihtiyaç sahibi öğrencilere destek için bir pay ayrılmadığı da görülmektedir.  2022 yılı için MEB bütçesinin 189 milyar 10 milyon TL olması öngörülmüştür. MEB bütçesinin yüzde 70’i personel giderleri, yüzde 11’i sosyal güvenlik devlet primi giderleri olmak üzere, toplamda yüzde 81’ü doğrudan doğruya personel harcamaları için kullanılmaktadır. Eğitim bütçesi yıllar içinde rakamsal olarak artıyor gibi görünse de personel giderlerinin bütçenin %81’ini kapsaması, eşit eğitim imkânına erişmeyi engelleyecek önemli bir faktör olarak ortaya çıkmaktadır. (2005 yılında MEB bütçesinin yüzde 73’ü personel giderleri için ayrılmıştır.) MEB merkezi bütçeden en fazla pay alan bakanlıklardan biri olmakla birlikte, MEB bütçesinin yaklaşık %81’i personel giderleri ile SGK pirimi giderleri oluşturmaktadır. İkili eğitimin sonlandırılması, okullaşma oranlarının artırılması ve eğitimin niteliğinin geliştirilmesi gibi politika ve hedeflerin gerçekleştirilmesi için daha fazla kaynak ayrılması, en azından orta vadede yatırım maliyetlerinin karşılanması </w:t>
      </w:r>
      <w:r w:rsidRPr="00AB5979">
        <w:rPr>
          <w:sz w:val="24"/>
          <w:szCs w:val="24"/>
        </w:rPr>
        <w:lastRenderedPageBreak/>
        <w:t>açısından bir zorunluluk olarak görülmektedir. Ancak MEB bütçesinden 2022 yılında yatırıma ayrılan pay kısmen artsa da hedefleri gerçekleştirmek için yeterli değildir.</w:t>
      </w:r>
    </w:p>
    <w:p w:rsidR="00AF63F2" w:rsidRDefault="00AF63F2" w:rsidP="00AF63F2">
      <w:pPr>
        <w:spacing w:line="360" w:lineRule="auto"/>
        <w:jc w:val="both"/>
        <w:rPr>
          <w:b/>
          <w:sz w:val="24"/>
          <w:szCs w:val="24"/>
        </w:rPr>
      </w:pPr>
    </w:p>
    <w:p w:rsidR="00AF63F2" w:rsidRDefault="00AF63F2" w:rsidP="00AF63F2">
      <w:pPr>
        <w:spacing w:line="360" w:lineRule="auto"/>
        <w:jc w:val="both"/>
        <w:rPr>
          <w:b/>
          <w:sz w:val="24"/>
          <w:szCs w:val="24"/>
        </w:rPr>
      </w:pPr>
    </w:p>
    <w:p w:rsidR="00AF63F2" w:rsidRDefault="00AF63F2" w:rsidP="00AF63F2">
      <w:pPr>
        <w:spacing w:line="360" w:lineRule="auto"/>
        <w:jc w:val="both"/>
        <w:rPr>
          <w:b/>
          <w:sz w:val="24"/>
          <w:szCs w:val="24"/>
        </w:rPr>
      </w:pPr>
    </w:p>
    <w:p w:rsidR="00AF63F2" w:rsidRDefault="00AF63F2" w:rsidP="00AF63F2">
      <w:pPr>
        <w:spacing w:line="360" w:lineRule="auto"/>
        <w:jc w:val="both"/>
        <w:rPr>
          <w:b/>
          <w:sz w:val="24"/>
          <w:szCs w:val="24"/>
        </w:rPr>
      </w:pPr>
    </w:p>
    <w:p w:rsidR="00AF63F2" w:rsidRDefault="00AF63F2" w:rsidP="00AF63F2">
      <w:pPr>
        <w:spacing w:line="360" w:lineRule="auto"/>
        <w:jc w:val="both"/>
        <w:rPr>
          <w:b/>
          <w:sz w:val="24"/>
          <w:szCs w:val="24"/>
        </w:rPr>
      </w:pPr>
    </w:p>
    <w:p w:rsidR="00AF63F2" w:rsidRDefault="00AF63F2" w:rsidP="00AF63F2">
      <w:pPr>
        <w:spacing w:line="360" w:lineRule="auto"/>
        <w:jc w:val="both"/>
        <w:rPr>
          <w:b/>
          <w:sz w:val="24"/>
          <w:szCs w:val="24"/>
        </w:rPr>
      </w:pPr>
    </w:p>
    <w:p w:rsidR="00AF63F2" w:rsidRDefault="00AF63F2" w:rsidP="00AF63F2">
      <w:pPr>
        <w:spacing w:line="360" w:lineRule="auto"/>
        <w:jc w:val="both"/>
        <w:rPr>
          <w:b/>
          <w:sz w:val="24"/>
          <w:szCs w:val="24"/>
        </w:rPr>
      </w:pPr>
    </w:p>
    <w:p w:rsidR="00AF63F2" w:rsidRDefault="00AF63F2" w:rsidP="00AF63F2">
      <w:pPr>
        <w:spacing w:line="360" w:lineRule="auto"/>
        <w:jc w:val="both"/>
        <w:rPr>
          <w:b/>
          <w:sz w:val="24"/>
          <w:szCs w:val="24"/>
        </w:rPr>
      </w:pPr>
    </w:p>
    <w:p w:rsidR="00AF63F2" w:rsidRDefault="00AF63F2" w:rsidP="00AF63F2">
      <w:pPr>
        <w:spacing w:line="360" w:lineRule="auto"/>
        <w:jc w:val="both"/>
        <w:rPr>
          <w:b/>
          <w:sz w:val="24"/>
          <w:szCs w:val="24"/>
        </w:rPr>
      </w:pPr>
    </w:p>
    <w:p w:rsidR="00AF63F2" w:rsidRPr="00224C4A" w:rsidRDefault="00AF63F2" w:rsidP="00AF63F2">
      <w:pPr>
        <w:spacing w:line="360" w:lineRule="auto"/>
        <w:jc w:val="both"/>
        <w:rPr>
          <w:b/>
          <w:sz w:val="24"/>
          <w:szCs w:val="24"/>
        </w:rPr>
      </w:pPr>
      <w:r w:rsidRPr="00224C4A">
        <w:rPr>
          <w:b/>
          <w:sz w:val="24"/>
          <w:szCs w:val="24"/>
        </w:rPr>
        <w:t>MEB KÜÇÜLTÜLÜRKEN MAARİF VAKFI İHYA EDİLİYOR</w:t>
      </w:r>
    </w:p>
    <w:p w:rsidR="00AF63F2" w:rsidRPr="00AB5979" w:rsidRDefault="00AF63F2" w:rsidP="00AF63F2">
      <w:pPr>
        <w:spacing w:line="360" w:lineRule="auto"/>
        <w:jc w:val="both"/>
        <w:rPr>
          <w:rFonts w:asciiTheme="minorHAnsi" w:hAnsiTheme="minorHAnsi" w:cstheme="minorHAnsi"/>
          <w:b/>
          <w:sz w:val="22"/>
          <w:szCs w:val="22"/>
        </w:rPr>
      </w:pPr>
      <w:r w:rsidRPr="00AB5979">
        <w:rPr>
          <w:rFonts w:asciiTheme="minorHAnsi" w:eastAsia="Calibri" w:hAnsiTheme="minorHAnsi" w:cstheme="minorHAnsi"/>
          <w:b/>
          <w:sz w:val="22"/>
          <w:szCs w:val="22"/>
        </w:rPr>
        <w:t xml:space="preserve">Grafik 11. Türkiye Maarif Vakfı Bütçesi </w:t>
      </w:r>
    </w:p>
    <w:p w:rsidR="00AF63F2" w:rsidRPr="00AB5979" w:rsidRDefault="00AF63F2" w:rsidP="00AF63F2">
      <w:pPr>
        <w:spacing w:line="360" w:lineRule="auto"/>
        <w:jc w:val="both"/>
        <w:rPr>
          <w:sz w:val="24"/>
          <w:szCs w:val="24"/>
        </w:rPr>
      </w:pPr>
      <w:r w:rsidRPr="003F0CF5">
        <w:rPr>
          <w:rFonts w:ascii="Calibri" w:eastAsia="Calibri" w:hAnsi="Calibri"/>
          <w:noProof/>
          <w:sz w:val="22"/>
          <w:szCs w:val="22"/>
        </w:rPr>
        <w:drawing>
          <wp:inline distT="0" distB="0" distL="0" distR="0" wp14:anchorId="4D6C5A6F" wp14:editId="50D6337C">
            <wp:extent cx="5759450" cy="2854325"/>
            <wp:effectExtent l="0" t="0" r="12700" b="22225"/>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F63F2" w:rsidRPr="00AB5979" w:rsidRDefault="00AF63F2" w:rsidP="00AF63F2">
      <w:pPr>
        <w:spacing w:line="360" w:lineRule="auto"/>
        <w:jc w:val="both"/>
        <w:rPr>
          <w:sz w:val="24"/>
          <w:szCs w:val="24"/>
        </w:rPr>
      </w:pPr>
      <w:r w:rsidRPr="00AB5979">
        <w:rPr>
          <w:sz w:val="24"/>
          <w:szCs w:val="24"/>
        </w:rPr>
        <w:t xml:space="preserve">Tek başına dört yılda eğitim bütçesinden </w:t>
      </w:r>
      <w:proofErr w:type="gramStart"/>
      <w:r w:rsidRPr="00AB5979">
        <w:rPr>
          <w:sz w:val="24"/>
          <w:szCs w:val="24"/>
        </w:rPr>
        <w:t>1.5</w:t>
      </w:r>
      <w:proofErr w:type="gramEnd"/>
      <w:r w:rsidRPr="00AB5979">
        <w:rPr>
          <w:sz w:val="24"/>
          <w:szCs w:val="24"/>
        </w:rPr>
        <w:t xml:space="preserve"> milyar liranın üzerinde paranın paralel eğitim kurumu gibi çalışan Maarif Vakfı'na aktarılması bile, kısıtlı olan bu bütçelerin zaten doğru kullanılmadığının kanıtıdır. Türkiye Maarif Vakfının bütçesi geçtiğimiz yıla göre %285,4 oranında artmıştır. Ayrıca vakfın toplam bütçesi Milli Eğitim Bakanlığının yatırım bütçesinin %9,12’si kadardır. 15 milyondan fazla öğrenciye hizmet sağlayan MEB’in yatırım bütçesinin neredeyse %10’u kadar payın Türkiye Maarif Vakfına aktarılması manidardır.2016 yılında </w:t>
      </w:r>
      <w:proofErr w:type="spellStart"/>
      <w:r w:rsidRPr="00AB5979">
        <w:rPr>
          <w:sz w:val="24"/>
          <w:szCs w:val="24"/>
        </w:rPr>
        <w:t>FETÖ’nün</w:t>
      </w:r>
      <w:proofErr w:type="spellEnd"/>
      <w:r w:rsidRPr="00AB5979">
        <w:rPr>
          <w:sz w:val="24"/>
          <w:szCs w:val="24"/>
        </w:rPr>
        <w:t xml:space="preserve"> okullarını devralması için kurulan ancak neredeyse paralel MEB gibi çalışan Türkiye Maarif Vakfı ihya edilmiştir. Vakfın toplam 323 eğitim kurumu açtığı, 207’si yurt içinde 6708’i yurt dışında, toplam 6.915 personelin bulunduğu, bütçeden ayrılan payın </w:t>
      </w:r>
      <w:r w:rsidRPr="00AB5979">
        <w:rPr>
          <w:sz w:val="24"/>
          <w:szCs w:val="24"/>
        </w:rPr>
        <w:lastRenderedPageBreak/>
        <w:t>büyüklüğü düşünülürse, MEB'in küçültülüp Türkiye Maarif Vakfı'nın büyütüldüğü anlaşılacaktır.  </w:t>
      </w:r>
    </w:p>
    <w:p w:rsidR="00AF63F2" w:rsidRDefault="00AF63F2" w:rsidP="00AF63F2">
      <w:pPr>
        <w:spacing w:line="360" w:lineRule="auto"/>
        <w:jc w:val="both"/>
        <w:rPr>
          <w:b/>
          <w:sz w:val="24"/>
          <w:szCs w:val="24"/>
        </w:rPr>
      </w:pPr>
    </w:p>
    <w:p w:rsidR="00AF63F2" w:rsidRPr="00AB5979" w:rsidRDefault="00AF63F2" w:rsidP="00AF63F2">
      <w:pPr>
        <w:spacing w:line="360" w:lineRule="auto"/>
        <w:jc w:val="both"/>
        <w:rPr>
          <w:b/>
          <w:sz w:val="24"/>
          <w:szCs w:val="24"/>
        </w:rPr>
      </w:pPr>
      <w:r w:rsidRPr="00AB5979">
        <w:rPr>
          <w:b/>
          <w:sz w:val="24"/>
          <w:szCs w:val="24"/>
        </w:rPr>
        <w:t>EĞİTİMİN MASRAFLARI VELİNİN SIRTINA YÜKLENDİ</w:t>
      </w:r>
    </w:p>
    <w:p w:rsidR="00AF63F2" w:rsidRPr="00AB5979" w:rsidRDefault="00AF63F2" w:rsidP="00AF63F2">
      <w:pPr>
        <w:spacing w:line="360" w:lineRule="auto"/>
        <w:jc w:val="both"/>
        <w:rPr>
          <w:sz w:val="24"/>
          <w:szCs w:val="24"/>
        </w:rPr>
      </w:pPr>
      <w:r w:rsidRPr="00AB5979">
        <w:rPr>
          <w:sz w:val="24"/>
          <w:szCs w:val="24"/>
        </w:rPr>
        <w:t>MEB bütçesi son beş yılda merkezi yönetim bütçesi içerisinde azalma eğilimine girmiştir. MEB bütçesinin GSYH’ye oranı 2014 yılında %3,19 iken 2022 yılında %2,39’a gerilemiştir. Bakanlık bütçesinin merkezi bütçe içindeki payı 2015 yılında %13.11, 2016’da %13,38, 2017’de %13,18, 2018’de %12,13 ve 2019’da %11,84’e, 2021’de %10,91’e, 2022’de ise  %10,79’a gerilemiştir. MEB bütçesinin merkezi yönetim bütçesi içerindeki payının sürekli azalması ailelerin eğitim harcamalarının artmasına neden olmuştur.</w:t>
      </w:r>
    </w:p>
    <w:p w:rsidR="00AF63F2" w:rsidRDefault="00AF63F2" w:rsidP="00AF63F2">
      <w:pPr>
        <w:spacing w:line="360" w:lineRule="auto"/>
        <w:jc w:val="both"/>
        <w:rPr>
          <w:sz w:val="24"/>
          <w:szCs w:val="24"/>
        </w:rPr>
      </w:pPr>
      <w:r w:rsidRPr="00AB5979">
        <w:rPr>
          <w:sz w:val="24"/>
          <w:szCs w:val="24"/>
        </w:rPr>
        <w:t xml:space="preserve">MEB'in kendi istatistikleri de 2022 için belirlenen bu bütçenin hiçbir yaraya merhem olmayacağını açıkça ortaya koymaktadır. </w:t>
      </w:r>
    </w:p>
    <w:p w:rsidR="00AF63F2" w:rsidRDefault="00AF63F2" w:rsidP="00AF63F2">
      <w:pPr>
        <w:spacing w:line="360" w:lineRule="auto"/>
        <w:jc w:val="both"/>
        <w:rPr>
          <w:sz w:val="24"/>
          <w:szCs w:val="24"/>
        </w:rPr>
      </w:pPr>
      <w:r w:rsidRPr="00AB5979">
        <w:rPr>
          <w:sz w:val="24"/>
          <w:szCs w:val="24"/>
        </w:rPr>
        <w:t>Bu yetersiz bütçe açıkça:</w:t>
      </w:r>
    </w:p>
    <w:p w:rsidR="00AF63F2" w:rsidRDefault="00AF63F2" w:rsidP="00AF63F2">
      <w:pPr>
        <w:spacing w:line="360" w:lineRule="auto"/>
        <w:jc w:val="both"/>
        <w:rPr>
          <w:sz w:val="24"/>
          <w:szCs w:val="24"/>
        </w:rPr>
      </w:pPr>
      <w:r>
        <w:rPr>
          <w:sz w:val="24"/>
          <w:szCs w:val="24"/>
        </w:rPr>
        <w:t>-</w:t>
      </w:r>
      <w:r w:rsidRPr="00AB5979">
        <w:rPr>
          <w:sz w:val="24"/>
          <w:szCs w:val="24"/>
        </w:rPr>
        <w:t>Yeni dersliklerin inşası için</w:t>
      </w:r>
    </w:p>
    <w:p w:rsidR="00AF63F2" w:rsidRDefault="00AF63F2" w:rsidP="00AF63F2">
      <w:pPr>
        <w:spacing w:line="360" w:lineRule="auto"/>
        <w:jc w:val="both"/>
        <w:rPr>
          <w:sz w:val="24"/>
          <w:szCs w:val="24"/>
        </w:rPr>
      </w:pPr>
      <w:r>
        <w:rPr>
          <w:sz w:val="24"/>
          <w:szCs w:val="24"/>
        </w:rPr>
        <w:t>-</w:t>
      </w:r>
      <w:r w:rsidRPr="00AB5979">
        <w:rPr>
          <w:sz w:val="24"/>
          <w:szCs w:val="24"/>
        </w:rPr>
        <w:t>Gereken öğretmen atamaları için</w:t>
      </w:r>
    </w:p>
    <w:p w:rsidR="00AF63F2" w:rsidRDefault="00AF63F2" w:rsidP="00AF63F2">
      <w:pPr>
        <w:spacing w:line="360" w:lineRule="auto"/>
        <w:jc w:val="both"/>
        <w:rPr>
          <w:sz w:val="24"/>
          <w:szCs w:val="24"/>
        </w:rPr>
      </w:pPr>
      <w:r>
        <w:rPr>
          <w:sz w:val="24"/>
          <w:szCs w:val="24"/>
        </w:rPr>
        <w:t>-</w:t>
      </w:r>
      <w:r w:rsidRPr="00AB5979">
        <w:rPr>
          <w:sz w:val="24"/>
          <w:szCs w:val="24"/>
        </w:rPr>
        <w:t>Taşımalı eğitim utancını bitirmek için</w:t>
      </w:r>
    </w:p>
    <w:p w:rsidR="00AF63F2" w:rsidRDefault="00AF63F2" w:rsidP="00AF63F2">
      <w:pPr>
        <w:spacing w:line="360" w:lineRule="auto"/>
        <w:jc w:val="both"/>
        <w:rPr>
          <w:sz w:val="24"/>
          <w:szCs w:val="24"/>
        </w:rPr>
      </w:pPr>
      <w:r>
        <w:rPr>
          <w:sz w:val="24"/>
          <w:szCs w:val="24"/>
        </w:rPr>
        <w:t>-</w:t>
      </w:r>
      <w:r w:rsidRPr="00AB5979">
        <w:rPr>
          <w:sz w:val="24"/>
          <w:szCs w:val="24"/>
        </w:rPr>
        <w:t xml:space="preserve">Okulları </w:t>
      </w:r>
      <w:proofErr w:type="spellStart"/>
      <w:r w:rsidRPr="00AB5979">
        <w:rPr>
          <w:sz w:val="24"/>
          <w:szCs w:val="24"/>
        </w:rPr>
        <w:t>pandemiye</w:t>
      </w:r>
      <w:proofErr w:type="spellEnd"/>
      <w:r w:rsidRPr="00AB5979">
        <w:rPr>
          <w:sz w:val="24"/>
          <w:szCs w:val="24"/>
        </w:rPr>
        <w:t xml:space="preserve"> uygun hale getirmek için</w:t>
      </w:r>
    </w:p>
    <w:p w:rsidR="00AF63F2" w:rsidRDefault="00AF63F2" w:rsidP="00AF63F2">
      <w:pPr>
        <w:spacing w:line="360" w:lineRule="auto"/>
        <w:jc w:val="both"/>
        <w:rPr>
          <w:sz w:val="24"/>
          <w:szCs w:val="24"/>
        </w:rPr>
      </w:pPr>
      <w:r>
        <w:rPr>
          <w:sz w:val="24"/>
          <w:szCs w:val="24"/>
        </w:rPr>
        <w:t>-</w:t>
      </w:r>
      <w:r w:rsidRPr="00AB5979">
        <w:rPr>
          <w:sz w:val="24"/>
          <w:szCs w:val="24"/>
        </w:rPr>
        <w:t>Köy okullarını aktif hale getirmek için</w:t>
      </w:r>
    </w:p>
    <w:p w:rsidR="00AF63F2" w:rsidRDefault="00AF63F2" w:rsidP="00AF63F2">
      <w:pPr>
        <w:spacing w:line="360" w:lineRule="auto"/>
        <w:jc w:val="both"/>
        <w:rPr>
          <w:sz w:val="24"/>
          <w:szCs w:val="24"/>
        </w:rPr>
      </w:pPr>
      <w:r>
        <w:rPr>
          <w:sz w:val="24"/>
          <w:szCs w:val="24"/>
        </w:rPr>
        <w:t>-</w:t>
      </w:r>
      <w:r w:rsidRPr="00AB5979">
        <w:rPr>
          <w:sz w:val="24"/>
          <w:szCs w:val="24"/>
        </w:rPr>
        <w:t xml:space="preserve">İhtiyaç sahibi çocuklara tablet/bilgisayar ve internet temin etmek için hazırlanmamıştır. </w:t>
      </w:r>
    </w:p>
    <w:p w:rsidR="00AF63F2" w:rsidRDefault="00AF63F2" w:rsidP="00AF63F2">
      <w:pPr>
        <w:spacing w:line="360" w:lineRule="auto"/>
        <w:jc w:val="both"/>
        <w:rPr>
          <w:sz w:val="24"/>
          <w:szCs w:val="24"/>
        </w:rPr>
      </w:pPr>
      <w:r w:rsidRPr="00AB5979">
        <w:rPr>
          <w:sz w:val="24"/>
          <w:szCs w:val="24"/>
        </w:rPr>
        <w:t xml:space="preserve">Bu bütçe, "itibardan tasarruf olmaz" diyenlerin, tasarrufu eğitimden yapmaya kararlı olduklarını göstermektedir. Bu bütçe her bir öğrencinin bilimsel, laik, sağlıklı, adil ve kamusal eğitim aldığı, eğitim emekçilerinin mesleki ve maddi anlamda mağdur edilmediği bir düzen ihtiyacının yanından bile geçmemektedir.  Merkez bütçeden aslan payı sayılabilecek bir oranı Diyanet için öngören hükümet, eğitimli gençlere değil, şükreden ve itiraz etmeyen bir topluma ihtiyaç duyduğunu bu bütçeyle bir kez daha göstermiştir. Başöğretmen Mustafa Kemal Atatürk, "Eğitimde feda edilecek tek bir fert yoktur" derken, bu bütçeyle çocuklarımızın ve dolayısıyla ülkemizin geleceğinin feda edildiği açıktır. Bilinsin ki </w:t>
      </w:r>
      <w:proofErr w:type="spellStart"/>
      <w:r w:rsidRPr="00AB5979">
        <w:rPr>
          <w:sz w:val="24"/>
          <w:szCs w:val="24"/>
        </w:rPr>
        <w:t>Başöğretmen'in</w:t>
      </w:r>
      <w:proofErr w:type="spellEnd"/>
      <w:r w:rsidRPr="00AB5979">
        <w:rPr>
          <w:sz w:val="24"/>
          <w:szCs w:val="24"/>
        </w:rPr>
        <w:t xml:space="preserve"> izindeki eğitim neferlerinin bir ar</w:t>
      </w:r>
      <w:r>
        <w:rPr>
          <w:sz w:val="24"/>
          <w:szCs w:val="24"/>
        </w:rPr>
        <w:t>aya gelerek oluşturduğu Eğitim-İ</w:t>
      </w:r>
      <w:r w:rsidRPr="00AB5979">
        <w:rPr>
          <w:sz w:val="24"/>
          <w:szCs w:val="24"/>
        </w:rPr>
        <w:t>ş bu rezalet tabloya razı olmayacaktır!</w:t>
      </w:r>
    </w:p>
    <w:p w:rsidR="00AF63F2" w:rsidRDefault="00AF63F2" w:rsidP="00AF63F2">
      <w:pPr>
        <w:spacing w:line="360" w:lineRule="auto"/>
        <w:jc w:val="both"/>
        <w:rPr>
          <w:sz w:val="24"/>
          <w:szCs w:val="24"/>
        </w:rPr>
      </w:pPr>
    </w:p>
    <w:p w:rsidR="00AF63F2" w:rsidRPr="00AF63F2" w:rsidRDefault="00AF63F2" w:rsidP="00AF63F2">
      <w:pPr>
        <w:spacing w:line="360" w:lineRule="auto"/>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F63F2">
        <w:rPr>
          <w:b/>
          <w:sz w:val="24"/>
          <w:szCs w:val="24"/>
        </w:rPr>
        <w:t xml:space="preserve">MERKEZ YÖNETİM KURULU </w:t>
      </w:r>
    </w:p>
    <w:p w:rsidR="00095F87" w:rsidRDefault="00095F87" w:rsidP="00740B65">
      <w:pPr>
        <w:spacing w:line="360" w:lineRule="auto"/>
        <w:jc w:val="center"/>
        <w:rPr>
          <w:b/>
          <w:sz w:val="24"/>
          <w:szCs w:val="24"/>
        </w:rPr>
      </w:pPr>
    </w:p>
    <w:sectPr w:rsidR="00095F87" w:rsidSect="00524B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DE1" w:rsidRDefault="00BB5DE1" w:rsidP="0074220D">
      <w:r>
        <w:separator/>
      </w:r>
    </w:p>
  </w:endnote>
  <w:endnote w:type="continuationSeparator" w:id="0">
    <w:p w:rsidR="00BB5DE1" w:rsidRDefault="00BB5DE1" w:rsidP="0074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Impact">
    <w:panose1 w:val="020B0806030902050204"/>
    <w:charset w:val="A2"/>
    <w:family w:val="swiss"/>
    <w:pitch w:val="variable"/>
    <w:sig w:usb0="00000287" w:usb1="00000000" w:usb2="00000000" w:usb3="00000000" w:csb0="0000009F" w:csb1="00000000"/>
  </w:font>
  <w:font w:name="00362">
    <w:altName w:val="Courier New"/>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DE1" w:rsidRDefault="00BB5DE1" w:rsidP="0074220D">
      <w:r>
        <w:separator/>
      </w:r>
    </w:p>
  </w:footnote>
  <w:footnote w:type="continuationSeparator" w:id="0">
    <w:p w:rsidR="00BB5DE1" w:rsidRDefault="00BB5DE1" w:rsidP="00742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3B34"/>
    <w:multiLevelType w:val="hybridMultilevel"/>
    <w:tmpl w:val="6BECD4B0"/>
    <w:lvl w:ilvl="0" w:tplc="F400303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57D1984"/>
    <w:multiLevelType w:val="hybridMultilevel"/>
    <w:tmpl w:val="1D56F3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4895E1D"/>
    <w:multiLevelType w:val="hybridMultilevel"/>
    <w:tmpl w:val="8B3626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9DD7877"/>
    <w:multiLevelType w:val="hybridMultilevel"/>
    <w:tmpl w:val="75AA5C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B0"/>
    <w:rsid w:val="00001B75"/>
    <w:rsid w:val="00017775"/>
    <w:rsid w:val="00032DA3"/>
    <w:rsid w:val="00070940"/>
    <w:rsid w:val="0008360D"/>
    <w:rsid w:val="00093D8E"/>
    <w:rsid w:val="00095F87"/>
    <w:rsid w:val="000A5111"/>
    <w:rsid w:val="000C3B0B"/>
    <w:rsid w:val="00116363"/>
    <w:rsid w:val="00116B06"/>
    <w:rsid w:val="00125A7A"/>
    <w:rsid w:val="0014096F"/>
    <w:rsid w:val="00144699"/>
    <w:rsid w:val="00145920"/>
    <w:rsid w:val="001505A7"/>
    <w:rsid w:val="00157F67"/>
    <w:rsid w:val="00163A92"/>
    <w:rsid w:val="001A7AF0"/>
    <w:rsid w:val="001B24F0"/>
    <w:rsid w:val="001B4051"/>
    <w:rsid w:val="001E3928"/>
    <w:rsid w:val="001F6405"/>
    <w:rsid w:val="002054E4"/>
    <w:rsid w:val="002141B3"/>
    <w:rsid w:val="00222E88"/>
    <w:rsid w:val="00263469"/>
    <w:rsid w:val="002678F2"/>
    <w:rsid w:val="00275BB3"/>
    <w:rsid w:val="00285244"/>
    <w:rsid w:val="0029741B"/>
    <w:rsid w:val="002B0BB1"/>
    <w:rsid w:val="002C6AB3"/>
    <w:rsid w:val="002D41E5"/>
    <w:rsid w:val="002E0640"/>
    <w:rsid w:val="002E51FD"/>
    <w:rsid w:val="002E69F7"/>
    <w:rsid w:val="003354F2"/>
    <w:rsid w:val="003778A1"/>
    <w:rsid w:val="00387F76"/>
    <w:rsid w:val="00394221"/>
    <w:rsid w:val="003C51A2"/>
    <w:rsid w:val="003D337A"/>
    <w:rsid w:val="003D3606"/>
    <w:rsid w:val="003E7C6A"/>
    <w:rsid w:val="003F0CF5"/>
    <w:rsid w:val="003F1403"/>
    <w:rsid w:val="00402CB2"/>
    <w:rsid w:val="00432740"/>
    <w:rsid w:val="00454F76"/>
    <w:rsid w:val="004615C0"/>
    <w:rsid w:val="00480DE8"/>
    <w:rsid w:val="004B712F"/>
    <w:rsid w:val="004D5D17"/>
    <w:rsid w:val="004F50B5"/>
    <w:rsid w:val="004F6107"/>
    <w:rsid w:val="004F7B08"/>
    <w:rsid w:val="00503376"/>
    <w:rsid w:val="0050610D"/>
    <w:rsid w:val="00515117"/>
    <w:rsid w:val="0052003A"/>
    <w:rsid w:val="00524B04"/>
    <w:rsid w:val="00531F10"/>
    <w:rsid w:val="00567DBA"/>
    <w:rsid w:val="00570D5C"/>
    <w:rsid w:val="005861C0"/>
    <w:rsid w:val="00592180"/>
    <w:rsid w:val="005A0B6D"/>
    <w:rsid w:val="005B4D94"/>
    <w:rsid w:val="005D2186"/>
    <w:rsid w:val="005F304E"/>
    <w:rsid w:val="00610893"/>
    <w:rsid w:val="006271AB"/>
    <w:rsid w:val="00645785"/>
    <w:rsid w:val="00671226"/>
    <w:rsid w:val="006738EF"/>
    <w:rsid w:val="006935AB"/>
    <w:rsid w:val="006E22F1"/>
    <w:rsid w:val="006F072C"/>
    <w:rsid w:val="007236F1"/>
    <w:rsid w:val="00731D27"/>
    <w:rsid w:val="0073269D"/>
    <w:rsid w:val="00733499"/>
    <w:rsid w:val="00740B65"/>
    <w:rsid w:val="00741A76"/>
    <w:rsid w:val="0074220D"/>
    <w:rsid w:val="00760994"/>
    <w:rsid w:val="00775EE2"/>
    <w:rsid w:val="007A2E95"/>
    <w:rsid w:val="007B25D4"/>
    <w:rsid w:val="007C38C7"/>
    <w:rsid w:val="007F4606"/>
    <w:rsid w:val="008020F0"/>
    <w:rsid w:val="0084075D"/>
    <w:rsid w:val="00851138"/>
    <w:rsid w:val="00856DAB"/>
    <w:rsid w:val="00861D50"/>
    <w:rsid w:val="0087216B"/>
    <w:rsid w:val="008A1DE2"/>
    <w:rsid w:val="008B0A32"/>
    <w:rsid w:val="008C0827"/>
    <w:rsid w:val="008C5E2C"/>
    <w:rsid w:val="008D1144"/>
    <w:rsid w:val="008F1220"/>
    <w:rsid w:val="00930EB0"/>
    <w:rsid w:val="009409F5"/>
    <w:rsid w:val="00954825"/>
    <w:rsid w:val="00966B40"/>
    <w:rsid w:val="00984695"/>
    <w:rsid w:val="009A2A69"/>
    <w:rsid w:val="009C5C22"/>
    <w:rsid w:val="009D03EA"/>
    <w:rsid w:val="009E7F0E"/>
    <w:rsid w:val="00A042FB"/>
    <w:rsid w:val="00A05B8D"/>
    <w:rsid w:val="00A07533"/>
    <w:rsid w:val="00A20F3E"/>
    <w:rsid w:val="00A30EBC"/>
    <w:rsid w:val="00A361AD"/>
    <w:rsid w:val="00A5542A"/>
    <w:rsid w:val="00A64B30"/>
    <w:rsid w:val="00A71245"/>
    <w:rsid w:val="00A807F4"/>
    <w:rsid w:val="00AA3DAF"/>
    <w:rsid w:val="00AB271C"/>
    <w:rsid w:val="00AC2EE6"/>
    <w:rsid w:val="00AF423B"/>
    <w:rsid w:val="00AF6378"/>
    <w:rsid w:val="00AF63F2"/>
    <w:rsid w:val="00B23B87"/>
    <w:rsid w:val="00B30BB8"/>
    <w:rsid w:val="00B345BE"/>
    <w:rsid w:val="00B424FF"/>
    <w:rsid w:val="00B575AF"/>
    <w:rsid w:val="00B650E2"/>
    <w:rsid w:val="00BB5DE1"/>
    <w:rsid w:val="00BB76BD"/>
    <w:rsid w:val="00BE066B"/>
    <w:rsid w:val="00C03DC6"/>
    <w:rsid w:val="00C06176"/>
    <w:rsid w:val="00C25B40"/>
    <w:rsid w:val="00C26FB1"/>
    <w:rsid w:val="00C340C5"/>
    <w:rsid w:val="00C43054"/>
    <w:rsid w:val="00C54279"/>
    <w:rsid w:val="00C85C6B"/>
    <w:rsid w:val="00CB3387"/>
    <w:rsid w:val="00CC4932"/>
    <w:rsid w:val="00CD5E19"/>
    <w:rsid w:val="00CE2649"/>
    <w:rsid w:val="00CE7385"/>
    <w:rsid w:val="00D11FF9"/>
    <w:rsid w:val="00D23AF6"/>
    <w:rsid w:val="00D400D1"/>
    <w:rsid w:val="00D4745E"/>
    <w:rsid w:val="00D91D9C"/>
    <w:rsid w:val="00E100AB"/>
    <w:rsid w:val="00E123DD"/>
    <w:rsid w:val="00E129F8"/>
    <w:rsid w:val="00E13847"/>
    <w:rsid w:val="00E3280D"/>
    <w:rsid w:val="00E72EA6"/>
    <w:rsid w:val="00E94DED"/>
    <w:rsid w:val="00E97A69"/>
    <w:rsid w:val="00EA7187"/>
    <w:rsid w:val="00EB54C3"/>
    <w:rsid w:val="00EC7F41"/>
    <w:rsid w:val="00F05EC1"/>
    <w:rsid w:val="00F13AC1"/>
    <w:rsid w:val="00F205AE"/>
    <w:rsid w:val="00F25319"/>
    <w:rsid w:val="00F32111"/>
    <w:rsid w:val="00F34FEF"/>
    <w:rsid w:val="00F72721"/>
    <w:rsid w:val="00F82C27"/>
    <w:rsid w:val="00F82DD2"/>
    <w:rsid w:val="00F8550D"/>
    <w:rsid w:val="00F96082"/>
    <w:rsid w:val="00FA5F30"/>
    <w:rsid w:val="00FB0483"/>
    <w:rsid w:val="00FE09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EB0"/>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095F87"/>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semiHidden/>
    <w:unhideWhenUsed/>
    <w:qFormat/>
    <w:rsid w:val="0074220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3F0CF5"/>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30EB0"/>
    <w:pPr>
      <w:spacing w:after="200" w:line="276" w:lineRule="auto"/>
      <w:ind w:left="720"/>
      <w:contextualSpacing/>
    </w:pPr>
    <w:rPr>
      <w:rFonts w:ascii="Calibri" w:eastAsia="Calibri" w:hAnsi="Calibri"/>
      <w:sz w:val="22"/>
      <w:szCs w:val="22"/>
      <w:lang w:eastAsia="en-US"/>
    </w:rPr>
  </w:style>
  <w:style w:type="paragraph" w:customStyle="1" w:styleId="CharCharCharChar">
    <w:name w:val="Char Char Char Char"/>
    <w:basedOn w:val="Normal"/>
    <w:rsid w:val="006738EF"/>
    <w:pPr>
      <w:spacing w:after="160" w:line="240" w:lineRule="exact"/>
      <w:jc w:val="both"/>
    </w:pPr>
    <w:rPr>
      <w:rFonts w:ascii="Verdana" w:hAnsi="Verdana"/>
      <w:lang w:val="en-GB" w:eastAsia="en-US"/>
    </w:rPr>
  </w:style>
  <w:style w:type="paragraph" w:styleId="NormalWeb">
    <w:name w:val="Normal (Web)"/>
    <w:basedOn w:val="Normal"/>
    <w:uiPriority w:val="99"/>
    <w:rsid w:val="00CC4932"/>
    <w:pPr>
      <w:spacing w:before="100" w:beforeAutospacing="1" w:after="100" w:afterAutospacing="1"/>
    </w:pPr>
    <w:rPr>
      <w:sz w:val="24"/>
      <w:szCs w:val="24"/>
    </w:rPr>
  </w:style>
  <w:style w:type="table" w:styleId="TabloKlavuzu">
    <w:name w:val="Table Grid"/>
    <w:basedOn w:val="NormalTablo"/>
    <w:rsid w:val="00F13AC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480D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856DAB"/>
    <w:rPr>
      <w:rFonts w:ascii="Tahoma" w:hAnsi="Tahoma" w:cs="Tahoma"/>
      <w:sz w:val="16"/>
      <w:szCs w:val="16"/>
    </w:rPr>
  </w:style>
  <w:style w:type="character" w:customStyle="1" w:styleId="BalonMetniChar">
    <w:name w:val="Balon Metni Char"/>
    <w:basedOn w:val="VarsaylanParagrafYazTipi"/>
    <w:link w:val="BalonMetni"/>
    <w:uiPriority w:val="99"/>
    <w:semiHidden/>
    <w:rsid w:val="00856DAB"/>
    <w:rPr>
      <w:rFonts w:ascii="Tahoma" w:eastAsia="Times New Roman" w:hAnsi="Tahoma" w:cs="Tahoma"/>
      <w:sz w:val="16"/>
      <w:szCs w:val="16"/>
      <w:lang w:eastAsia="tr-TR"/>
    </w:rPr>
  </w:style>
  <w:style w:type="character" w:customStyle="1" w:styleId="apple-converted-space">
    <w:name w:val="apple-converted-space"/>
    <w:basedOn w:val="VarsaylanParagrafYazTipi"/>
    <w:rsid w:val="004615C0"/>
  </w:style>
  <w:style w:type="character" w:customStyle="1" w:styleId="Balk1Char">
    <w:name w:val="Başlık 1 Char"/>
    <w:basedOn w:val="VarsaylanParagrafYazTipi"/>
    <w:link w:val="Balk1"/>
    <w:rsid w:val="00095F87"/>
    <w:rPr>
      <w:rFonts w:ascii="Arial" w:eastAsia="Times New Roman" w:hAnsi="Arial" w:cs="Arial"/>
      <w:b/>
      <w:bCs/>
      <w:kern w:val="32"/>
      <w:sz w:val="32"/>
      <w:szCs w:val="32"/>
      <w:lang w:eastAsia="tr-TR"/>
    </w:rPr>
  </w:style>
  <w:style w:type="paragraph" w:customStyle="1" w:styleId="Default">
    <w:name w:val="Default"/>
    <w:uiPriority w:val="99"/>
    <w:rsid w:val="000A5111"/>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0A5111"/>
    <w:rPr>
      <w:b/>
      <w:bCs/>
    </w:rPr>
  </w:style>
  <w:style w:type="character" w:customStyle="1" w:styleId="Balk2Char">
    <w:name w:val="Başlık 2 Char"/>
    <w:basedOn w:val="VarsaylanParagrafYazTipi"/>
    <w:link w:val="Balk2"/>
    <w:uiPriority w:val="9"/>
    <w:semiHidden/>
    <w:rsid w:val="0074220D"/>
    <w:rPr>
      <w:rFonts w:asciiTheme="majorHAnsi" w:eastAsiaTheme="majorEastAsia" w:hAnsiTheme="majorHAnsi" w:cstheme="majorBidi"/>
      <w:color w:val="365F91" w:themeColor="accent1" w:themeShade="BF"/>
      <w:sz w:val="26"/>
      <w:szCs w:val="26"/>
      <w:lang w:eastAsia="tr-TR"/>
    </w:rPr>
  </w:style>
  <w:style w:type="table" w:customStyle="1" w:styleId="GridTable1LightAccent1">
    <w:name w:val="Grid Table 1 Light Accent 1"/>
    <w:basedOn w:val="NormalTablo"/>
    <w:uiPriority w:val="46"/>
    <w:rsid w:val="0074220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DipnotMetni">
    <w:name w:val="footnote text"/>
    <w:basedOn w:val="Normal"/>
    <w:link w:val="DipnotMetniChar"/>
    <w:uiPriority w:val="99"/>
    <w:unhideWhenUsed/>
    <w:rsid w:val="0074220D"/>
    <w:rPr>
      <w:rFonts w:asciiTheme="minorHAnsi" w:eastAsiaTheme="minorEastAsia" w:hAnsiTheme="minorHAnsi"/>
    </w:rPr>
  </w:style>
  <w:style w:type="character" w:customStyle="1" w:styleId="DipnotMetniChar">
    <w:name w:val="Dipnot Metni Char"/>
    <w:basedOn w:val="VarsaylanParagrafYazTipi"/>
    <w:link w:val="DipnotMetni"/>
    <w:uiPriority w:val="99"/>
    <w:rsid w:val="0074220D"/>
    <w:rPr>
      <w:rFonts w:eastAsiaTheme="minorEastAsia" w:cs="Times New Roman"/>
      <w:sz w:val="20"/>
      <w:szCs w:val="20"/>
      <w:lang w:eastAsia="tr-TR"/>
    </w:rPr>
  </w:style>
  <w:style w:type="character" w:styleId="DipnotBavurusu">
    <w:name w:val="footnote reference"/>
    <w:basedOn w:val="VarsaylanParagrafYazTipi"/>
    <w:uiPriority w:val="99"/>
    <w:semiHidden/>
    <w:unhideWhenUsed/>
    <w:rsid w:val="0074220D"/>
    <w:rPr>
      <w:vertAlign w:val="superscript"/>
    </w:rPr>
  </w:style>
  <w:style w:type="table" w:customStyle="1" w:styleId="GridTable1LightAccent5">
    <w:name w:val="Grid Table 1 Light Accent 5"/>
    <w:basedOn w:val="NormalTablo"/>
    <w:uiPriority w:val="46"/>
    <w:rsid w:val="0074220D"/>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5DarkAccent3">
    <w:name w:val="Grid Table 5 Dark Accent 3"/>
    <w:basedOn w:val="NormalTablo"/>
    <w:uiPriority w:val="50"/>
    <w:rsid w:val="007422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Balk3Char">
    <w:name w:val="Başlık 3 Char"/>
    <w:basedOn w:val="VarsaylanParagrafYazTipi"/>
    <w:link w:val="Balk3"/>
    <w:uiPriority w:val="9"/>
    <w:semiHidden/>
    <w:rsid w:val="003F0CF5"/>
    <w:rPr>
      <w:rFonts w:asciiTheme="majorHAnsi" w:eastAsiaTheme="majorEastAsia" w:hAnsiTheme="majorHAnsi" w:cstheme="majorBidi"/>
      <w:b/>
      <w:bCs/>
      <w:color w:val="4F81BD" w:themeColor="accent1"/>
      <w:sz w:val="20"/>
      <w:szCs w:val="20"/>
      <w:lang w:eastAsia="tr-TR"/>
    </w:rPr>
  </w:style>
  <w:style w:type="table" w:customStyle="1" w:styleId="KlavuzuTablo4-Vurgu11">
    <w:name w:val="Kılavuzu Tablo 4 - Vurgu 11"/>
    <w:basedOn w:val="NormalTablo"/>
    <w:next w:val="NormalTablo"/>
    <w:uiPriority w:val="49"/>
    <w:rsid w:val="003F0CF5"/>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Tablo2-Vurgu51">
    <w:name w:val="Kılavuz Tablo 2 - Vurgu 51"/>
    <w:basedOn w:val="NormalTablo"/>
    <w:next w:val="NormalTablo"/>
    <w:uiPriority w:val="47"/>
    <w:rsid w:val="003F0CF5"/>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KlavuzTablo1Ak-Vurgu51">
    <w:name w:val="Kılavuz Tablo 1 Açık - Vurgu 51"/>
    <w:basedOn w:val="NormalTablo"/>
    <w:uiPriority w:val="46"/>
    <w:rsid w:val="003F0CF5"/>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next w:val="NormalTablo"/>
    <w:uiPriority w:val="46"/>
    <w:rsid w:val="003F0CF5"/>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AkGlgeleme-Vurgu11">
    <w:name w:val="Açık Gölgeleme - Vurgu 11"/>
    <w:basedOn w:val="NormalTablo"/>
    <w:next w:val="AkGlgeleme-Vurgu1"/>
    <w:uiPriority w:val="60"/>
    <w:rsid w:val="003F0CF5"/>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AkGlgeleme-Vurgu1">
    <w:name w:val="Light Shading Accent 1"/>
    <w:basedOn w:val="NormalTablo"/>
    <w:uiPriority w:val="60"/>
    <w:rsid w:val="003F0CF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EB0"/>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095F87"/>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semiHidden/>
    <w:unhideWhenUsed/>
    <w:qFormat/>
    <w:rsid w:val="0074220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3F0CF5"/>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30EB0"/>
    <w:pPr>
      <w:spacing w:after="200" w:line="276" w:lineRule="auto"/>
      <w:ind w:left="720"/>
      <w:contextualSpacing/>
    </w:pPr>
    <w:rPr>
      <w:rFonts w:ascii="Calibri" w:eastAsia="Calibri" w:hAnsi="Calibri"/>
      <w:sz w:val="22"/>
      <w:szCs w:val="22"/>
      <w:lang w:eastAsia="en-US"/>
    </w:rPr>
  </w:style>
  <w:style w:type="paragraph" w:customStyle="1" w:styleId="CharCharCharChar">
    <w:name w:val="Char Char Char Char"/>
    <w:basedOn w:val="Normal"/>
    <w:rsid w:val="006738EF"/>
    <w:pPr>
      <w:spacing w:after="160" w:line="240" w:lineRule="exact"/>
      <w:jc w:val="both"/>
    </w:pPr>
    <w:rPr>
      <w:rFonts w:ascii="Verdana" w:hAnsi="Verdana"/>
      <w:lang w:val="en-GB" w:eastAsia="en-US"/>
    </w:rPr>
  </w:style>
  <w:style w:type="paragraph" w:styleId="NormalWeb">
    <w:name w:val="Normal (Web)"/>
    <w:basedOn w:val="Normal"/>
    <w:uiPriority w:val="99"/>
    <w:rsid w:val="00CC4932"/>
    <w:pPr>
      <w:spacing w:before="100" w:beforeAutospacing="1" w:after="100" w:afterAutospacing="1"/>
    </w:pPr>
    <w:rPr>
      <w:sz w:val="24"/>
      <w:szCs w:val="24"/>
    </w:rPr>
  </w:style>
  <w:style w:type="table" w:styleId="TabloKlavuzu">
    <w:name w:val="Table Grid"/>
    <w:basedOn w:val="NormalTablo"/>
    <w:rsid w:val="00F13AC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480D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856DAB"/>
    <w:rPr>
      <w:rFonts w:ascii="Tahoma" w:hAnsi="Tahoma" w:cs="Tahoma"/>
      <w:sz w:val="16"/>
      <w:szCs w:val="16"/>
    </w:rPr>
  </w:style>
  <w:style w:type="character" w:customStyle="1" w:styleId="BalonMetniChar">
    <w:name w:val="Balon Metni Char"/>
    <w:basedOn w:val="VarsaylanParagrafYazTipi"/>
    <w:link w:val="BalonMetni"/>
    <w:uiPriority w:val="99"/>
    <w:semiHidden/>
    <w:rsid w:val="00856DAB"/>
    <w:rPr>
      <w:rFonts w:ascii="Tahoma" w:eastAsia="Times New Roman" w:hAnsi="Tahoma" w:cs="Tahoma"/>
      <w:sz w:val="16"/>
      <w:szCs w:val="16"/>
      <w:lang w:eastAsia="tr-TR"/>
    </w:rPr>
  </w:style>
  <w:style w:type="character" w:customStyle="1" w:styleId="apple-converted-space">
    <w:name w:val="apple-converted-space"/>
    <w:basedOn w:val="VarsaylanParagrafYazTipi"/>
    <w:rsid w:val="004615C0"/>
  </w:style>
  <w:style w:type="character" w:customStyle="1" w:styleId="Balk1Char">
    <w:name w:val="Başlık 1 Char"/>
    <w:basedOn w:val="VarsaylanParagrafYazTipi"/>
    <w:link w:val="Balk1"/>
    <w:rsid w:val="00095F87"/>
    <w:rPr>
      <w:rFonts w:ascii="Arial" w:eastAsia="Times New Roman" w:hAnsi="Arial" w:cs="Arial"/>
      <w:b/>
      <w:bCs/>
      <w:kern w:val="32"/>
      <w:sz w:val="32"/>
      <w:szCs w:val="32"/>
      <w:lang w:eastAsia="tr-TR"/>
    </w:rPr>
  </w:style>
  <w:style w:type="paragraph" w:customStyle="1" w:styleId="Default">
    <w:name w:val="Default"/>
    <w:uiPriority w:val="99"/>
    <w:rsid w:val="000A5111"/>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0A5111"/>
    <w:rPr>
      <w:b/>
      <w:bCs/>
    </w:rPr>
  </w:style>
  <w:style w:type="character" w:customStyle="1" w:styleId="Balk2Char">
    <w:name w:val="Başlık 2 Char"/>
    <w:basedOn w:val="VarsaylanParagrafYazTipi"/>
    <w:link w:val="Balk2"/>
    <w:uiPriority w:val="9"/>
    <w:semiHidden/>
    <w:rsid w:val="0074220D"/>
    <w:rPr>
      <w:rFonts w:asciiTheme="majorHAnsi" w:eastAsiaTheme="majorEastAsia" w:hAnsiTheme="majorHAnsi" w:cstheme="majorBidi"/>
      <w:color w:val="365F91" w:themeColor="accent1" w:themeShade="BF"/>
      <w:sz w:val="26"/>
      <w:szCs w:val="26"/>
      <w:lang w:eastAsia="tr-TR"/>
    </w:rPr>
  </w:style>
  <w:style w:type="table" w:customStyle="1" w:styleId="GridTable1LightAccent1">
    <w:name w:val="Grid Table 1 Light Accent 1"/>
    <w:basedOn w:val="NormalTablo"/>
    <w:uiPriority w:val="46"/>
    <w:rsid w:val="0074220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DipnotMetni">
    <w:name w:val="footnote text"/>
    <w:basedOn w:val="Normal"/>
    <w:link w:val="DipnotMetniChar"/>
    <w:uiPriority w:val="99"/>
    <w:unhideWhenUsed/>
    <w:rsid w:val="0074220D"/>
    <w:rPr>
      <w:rFonts w:asciiTheme="minorHAnsi" w:eastAsiaTheme="minorEastAsia" w:hAnsiTheme="minorHAnsi"/>
    </w:rPr>
  </w:style>
  <w:style w:type="character" w:customStyle="1" w:styleId="DipnotMetniChar">
    <w:name w:val="Dipnot Metni Char"/>
    <w:basedOn w:val="VarsaylanParagrafYazTipi"/>
    <w:link w:val="DipnotMetni"/>
    <w:uiPriority w:val="99"/>
    <w:rsid w:val="0074220D"/>
    <w:rPr>
      <w:rFonts w:eastAsiaTheme="minorEastAsia" w:cs="Times New Roman"/>
      <w:sz w:val="20"/>
      <w:szCs w:val="20"/>
      <w:lang w:eastAsia="tr-TR"/>
    </w:rPr>
  </w:style>
  <w:style w:type="character" w:styleId="DipnotBavurusu">
    <w:name w:val="footnote reference"/>
    <w:basedOn w:val="VarsaylanParagrafYazTipi"/>
    <w:uiPriority w:val="99"/>
    <w:semiHidden/>
    <w:unhideWhenUsed/>
    <w:rsid w:val="0074220D"/>
    <w:rPr>
      <w:vertAlign w:val="superscript"/>
    </w:rPr>
  </w:style>
  <w:style w:type="table" w:customStyle="1" w:styleId="GridTable1LightAccent5">
    <w:name w:val="Grid Table 1 Light Accent 5"/>
    <w:basedOn w:val="NormalTablo"/>
    <w:uiPriority w:val="46"/>
    <w:rsid w:val="0074220D"/>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5DarkAccent3">
    <w:name w:val="Grid Table 5 Dark Accent 3"/>
    <w:basedOn w:val="NormalTablo"/>
    <w:uiPriority w:val="50"/>
    <w:rsid w:val="007422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Balk3Char">
    <w:name w:val="Başlık 3 Char"/>
    <w:basedOn w:val="VarsaylanParagrafYazTipi"/>
    <w:link w:val="Balk3"/>
    <w:uiPriority w:val="9"/>
    <w:semiHidden/>
    <w:rsid w:val="003F0CF5"/>
    <w:rPr>
      <w:rFonts w:asciiTheme="majorHAnsi" w:eastAsiaTheme="majorEastAsia" w:hAnsiTheme="majorHAnsi" w:cstheme="majorBidi"/>
      <w:b/>
      <w:bCs/>
      <w:color w:val="4F81BD" w:themeColor="accent1"/>
      <w:sz w:val="20"/>
      <w:szCs w:val="20"/>
      <w:lang w:eastAsia="tr-TR"/>
    </w:rPr>
  </w:style>
  <w:style w:type="table" w:customStyle="1" w:styleId="KlavuzuTablo4-Vurgu11">
    <w:name w:val="Kılavuzu Tablo 4 - Vurgu 11"/>
    <w:basedOn w:val="NormalTablo"/>
    <w:next w:val="NormalTablo"/>
    <w:uiPriority w:val="49"/>
    <w:rsid w:val="003F0CF5"/>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Tablo2-Vurgu51">
    <w:name w:val="Kılavuz Tablo 2 - Vurgu 51"/>
    <w:basedOn w:val="NormalTablo"/>
    <w:next w:val="NormalTablo"/>
    <w:uiPriority w:val="47"/>
    <w:rsid w:val="003F0CF5"/>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KlavuzTablo1Ak-Vurgu51">
    <w:name w:val="Kılavuz Tablo 1 Açık - Vurgu 51"/>
    <w:basedOn w:val="NormalTablo"/>
    <w:uiPriority w:val="46"/>
    <w:rsid w:val="003F0CF5"/>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next w:val="NormalTablo"/>
    <w:uiPriority w:val="46"/>
    <w:rsid w:val="003F0CF5"/>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AkGlgeleme-Vurgu11">
    <w:name w:val="Açık Gölgeleme - Vurgu 11"/>
    <w:basedOn w:val="NormalTablo"/>
    <w:next w:val="AkGlgeleme-Vurgu1"/>
    <w:uiPriority w:val="60"/>
    <w:rsid w:val="003F0CF5"/>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AkGlgeleme-Vurgu1">
    <w:name w:val="Light Shading Accent 1"/>
    <w:basedOn w:val="NormalTablo"/>
    <w:uiPriority w:val="60"/>
    <w:rsid w:val="003F0CF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551260">
      <w:bodyDiv w:val="1"/>
      <w:marLeft w:val="0"/>
      <w:marRight w:val="0"/>
      <w:marTop w:val="0"/>
      <w:marBottom w:val="0"/>
      <w:divBdr>
        <w:top w:val="none" w:sz="0" w:space="0" w:color="auto"/>
        <w:left w:val="none" w:sz="0" w:space="0" w:color="auto"/>
        <w:bottom w:val="none" w:sz="0" w:space="0" w:color="auto"/>
        <w:right w:val="none" w:sz="0" w:space="0" w:color="auto"/>
      </w:divBdr>
    </w:div>
    <w:div w:id="2060932334">
      <w:bodyDiv w:val="1"/>
      <w:marLeft w:val="0"/>
      <w:marRight w:val="0"/>
      <w:marTop w:val="0"/>
      <w:marBottom w:val="0"/>
      <w:divBdr>
        <w:top w:val="none" w:sz="0" w:space="0" w:color="auto"/>
        <w:left w:val="none" w:sz="0" w:space="0" w:color="auto"/>
        <w:bottom w:val="none" w:sz="0" w:space="0" w:color="auto"/>
        <w:right w:val="none" w:sz="0" w:space="0" w:color="auto"/>
      </w:divBdr>
    </w:div>
    <w:div w:id="20843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FF0000"/>
                </a:solidFill>
                <a:latin typeface="+mn-lt"/>
                <a:ea typeface="+mn-ea"/>
                <a:cs typeface="+mn-cs"/>
              </a:defRPr>
            </a:pPr>
            <a:r>
              <a:rPr lang="en-US" sz="1200" b="1">
                <a:solidFill>
                  <a:srgbClr val="FF0000"/>
                </a:solidFill>
              </a:rPr>
              <a:t>Eğitim Bütçesinin GSYH ve Merkezi Yönetim Bütçesine Oranı</a:t>
            </a:r>
            <a:r>
              <a:rPr lang="tr-TR" sz="1200" b="1">
                <a:solidFill>
                  <a:srgbClr val="FF0000"/>
                </a:solidFill>
              </a:rPr>
              <a:t> (%)</a:t>
            </a:r>
            <a:endParaRPr lang="en-US" sz="1200" b="1">
              <a:solidFill>
                <a:srgbClr val="FF0000"/>
              </a:solidFill>
            </a:endParaRPr>
          </a:p>
        </c:rich>
      </c:tx>
      <c:overlay val="0"/>
      <c:spPr>
        <a:noFill/>
        <a:ln>
          <a:noFill/>
        </a:ln>
        <a:effectLst/>
      </c:spPr>
    </c:title>
    <c:autoTitleDeleted val="0"/>
    <c:plotArea>
      <c:layout/>
      <c:scatterChart>
        <c:scatterStyle val="lineMarker"/>
        <c:varyColors val="0"/>
        <c:ser>
          <c:idx val="0"/>
          <c:order val="0"/>
          <c:tx>
            <c:strRef>
              <c:f>Sayfa5!$E$450</c:f>
              <c:strCache>
                <c:ptCount val="1"/>
                <c:pt idx="0">
                  <c:v>Merkezi Yön.Büt.İçindeki Payı(%)</c:v>
                </c:pt>
              </c:strCache>
            </c:strRef>
          </c:tx>
          <c:spPr>
            <a:ln w="19050" cap="rnd">
              <a:solidFill>
                <a:schemeClr val="accent1"/>
              </a:solidFill>
              <a:round/>
            </a:ln>
            <a:effectLst/>
          </c:spPr>
          <c:marker>
            <c:symbol val="none"/>
          </c:marker>
          <c:dLbls>
            <c:dLbl>
              <c:idx val="19"/>
              <c:layout>
                <c:manualLayout>
                  <c:x val="3.3582958093541062E-3"/>
                  <c:y val="-1.7548111570799413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C00000"/>
                      </a:solidFill>
                      <a:latin typeface="+mn-lt"/>
                      <a:ea typeface="+mn-ea"/>
                      <a:cs typeface="+mn-cs"/>
                    </a:defRPr>
                  </a:pPr>
                  <a:endParaRPr lang="tr-TR"/>
                </a:p>
              </c:txPr>
              <c:dLblPos val="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rgbClr val="C00000"/>
                    </a:solidFill>
                    <a:latin typeface="+mn-lt"/>
                    <a:ea typeface="+mn-ea"/>
                    <a:cs typeface="+mn-cs"/>
                  </a:defRPr>
                </a:pPr>
                <a:endParaRPr lang="tr-T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Sayfa5!$D$451:$D$470</c:f>
              <c:numCache>
                <c:formatCode>General</c:formatCode>
                <c:ptCount val="20"/>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numCache>
            </c:numRef>
          </c:xVal>
          <c:yVal>
            <c:numRef>
              <c:f>Sayfa5!$E$451:$E$470</c:f>
              <c:numCache>
                <c:formatCode>General</c:formatCode>
                <c:ptCount val="20"/>
                <c:pt idx="0">
                  <c:v>9.18</c:v>
                </c:pt>
                <c:pt idx="1">
                  <c:v>10.98</c:v>
                </c:pt>
                <c:pt idx="2">
                  <c:v>12.87</c:v>
                </c:pt>
                <c:pt idx="3">
                  <c:v>13.77</c:v>
                </c:pt>
                <c:pt idx="4">
                  <c:v>14.54</c:v>
                </c:pt>
                <c:pt idx="5">
                  <c:v>14.52</c:v>
                </c:pt>
                <c:pt idx="6">
                  <c:v>14.74</c:v>
                </c:pt>
                <c:pt idx="7">
                  <c:v>14.11</c:v>
                </c:pt>
                <c:pt idx="8">
                  <c:v>15.72</c:v>
                </c:pt>
                <c:pt idx="9">
                  <c:v>16.13</c:v>
                </c:pt>
                <c:pt idx="10">
                  <c:v>16.920000000000002</c:v>
                </c:pt>
                <c:pt idx="11">
                  <c:v>18.13</c:v>
                </c:pt>
                <c:pt idx="12">
                  <c:v>18.59</c:v>
                </c:pt>
                <c:pt idx="13">
                  <c:v>19.239999999999998</c:v>
                </c:pt>
                <c:pt idx="14">
                  <c:v>18.98</c:v>
                </c:pt>
                <c:pt idx="15">
                  <c:v>17.66</c:v>
                </c:pt>
                <c:pt idx="16">
                  <c:v>16.809999999999999</c:v>
                </c:pt>
                <c:pt idx="17">
                  <c:v>16.100000000000001</c:v>
                </c:pt>
                <c:pt idx="18">
                  <c:v>15.7</c:v>
                </c:pt>
                <c:pt idx="19">
                  <c:v>15.6</c:v>
                </c:pt>
              </c:numCache>
            </c:numRef>
          </c:yVal>
          <c:smooth val="0"/>
        </c:ser>
        <c:ser>
          <c:idx val="1"/>
          <c:order val="1"/>
          <c:tx>
            <c:strRef>
              <c:f>Sayfa5!$F$450</c:f>
              <c:strCache>
                <c:ptCount val="1"/>
                <c:pt idx="0">
                  <c:v>GSYH oranı (%)</c:v>
                </c:pt>
              </c:strCache>
            </c:strRef>
          </c:tx>
          <c:spPr>
            <a:ln w="19050" cap="rnd">
              <a:solidFill>
                <a:schemeClr val="accent2"/>
              </a:solidFill>
              <a:round/>
            </a:ln>
            <a:effectLst/>
          </c:spPr>
          <c:marker>
            <c:symbol val="none"/>
          </c:marker>
          <c:dLbls>
            <c:dLbl>
              <c:idx val="19"/>
              <c:layout>
                <c:manualLayout>
                  <c:x val="-7.1917615802611831E-4"/>
                  <c:y val="5.3098447439824451E-4"/>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0070C0"/>
                      </a:solidFill>
                      <a:latin typeface="+mn-lt"/>
                      <a:ea typeface="+mn-ea"/>
                      <a:cs typeface="+mn-cs"/>
                    </a:defRPr>
                  </a:pPr>
                  <a:endParaRPr lang="tr-TR"/>
                </a:p>
              </c:txPr>
              <c:dLblPos val="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0070C0"/>
                    </a:solidFill>
                    <a:latin typeface="+mn-lt"/>
                    <a:ea typeface="+mn-ea"/>
                    <a:cs typeface="+mn-cs"/>
                  </a:defRPr>
                </a:pPr>
                <a:endParaRPr lang="tr-T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Sayfa5!$D$451:$D$470</c:f>
              <c:numCache>
                <c:formatCode>General</c:formatCode>
                <c:ptCount val="20"/>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numCache>
            </c:numRef>
          </c:xVal>
          <c:yVal>
            <c:numRef>
              <c:f>Sayfa5!$F$451:$F$470</c:f>
              <c:numCache>
                <c:formatCode>General</c:formatCode>
                <c:ptCount val="20"/>
                <c:pt idx="0">
                  <c:v>3.79</c:v>
                </c:pt>
                <c:pt idx="1">
                  <c:v>3.86</c:v>
                </c:pt>
                <c:pt idx="2">
                  <c:v>4.1399999999999997</c:v>
                </c:pt>
                <c:pt idx="3">
                  <c:v>3.05</c:v>
                </c:pt>
                <c:pt idx="4">
                  <c:v>3.39</c:v>
                </c:pt>
                <c:pt idx="5">
                  <c:v>3.25</c:v>
                </c:pt>
                <c:pt idx="6">
                  <c:v>3.87</c:v>
                </c:pt>
                <c:pt idx="7">
                  <c:v>3.49</c:v>
                </c:pt>
                <c:pt idx="8">
                  <c:v>3.52</c:v>
                </c:pt>
                <c:pt idx="9">
                  <c:v>3.61</c:v>
                </c:pt>
                <c:pt idx="10">
                  <c:v>3.78</c:v>
                </c:pt>
                <c:pt idx="11">
                  <c:v>3.86</c:v>
                </c:pt>
                <c:pt idx="12">
                  <c:v>3.76</c:v>
                </c:pt>
                <c:pt idx="13">
                  <c:v>4.21</c:v>
                </c:pt>
                <c:pt idx="14">
                  <c:v>4.03</c:v>
                </c:pt>
                <c:pt idx="15">
                  <c:v>3.9</c:v>
                </c:pt>
                <c:pt idx="16">
                  <c:v>3.63</c:v>
                </c:pt>
                <c:pt idx="17">
                  <c:v>3.6</c:v>
                </c:pt>
                <c:pt idx="18">
                  <c:v>3.74</c:v>
                </c:pt>
                <c:pt idx="19">
                  <c:v>3.47</c:v>
                </c:pt>
              </c:numCache>
            </c:numRef>
          </c:yVal>
          <c:smooth val="0"/>
        </c:ser>
        <c:dLbls>
          <c:dLblPos val="t"/>
          <c:showLegendKey val="0"/>
          <c:showVal val="1"/>
          <c:showCatName val="0"/>
          <c:showSerName val="0"/>
          <c:showPercent val="0"/>
          <c:showBubbleSize val="0"/>
        </c:dLbls>
        <c:axId val="248232128"/>
        <c:axId val="248233280"/>
      </c:scatterChart>
      <c:valAx>
        <c:axId val="24823212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tr-TR"/>
          </a:p>
        </c:txPr>
        <c:crossAx val="248233280"/>
        <c:crosses val="autoZero"/>
        <c:crossBetween val="midCat"/>
      </c:valAx>
      <c:valAx>
        <c:axId val="24823328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tr-TR"/>
          </a:p>
        </c:txPr>
        <c:crossAx val="24823212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none" baseline="0">
                <a:solidFill>
                  <a:schemeClr val="lt1"/>
                </a:solidFill>
                <a:latin typeface="+mn-lt"/>
                <a:ea typeface="+mn-ea"/>
                <a:cs typeface="+mn-cs"/>
              </a:defRPr>
            </a:pPr>
            <a:r>
              <a:rPr lang="en-US" sz="1400" b="1" cap="none"/>
              <a:t>Türkiye Maarif Vakfı Bütçesi- 2021-2022</a:t>
            </a:r>
          </a:p>
        </c:rich>
      </c:tx>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Sayfa5!$E$635</c:f>
              <c:strCache>
                <c:ptCount val="1"/>
                <c:pt idx="0">
                  <c:v>2021</c:v>
                </c:pt>
              </c:strCache>
            </c:strRef>
          </c:tx>
          <c:spPr>
            <a:solidFill>
              <a:srgbClr val="FF0000">
                <a:alpha val="88000"/>
              </a:srgb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dLbl>
              <c:idx val="0"/>
              <c:tx>
                <c:rich>
                  <a:bodyPr/>
                  <a:lstStyle/>
                  <a:p>
                    <a:r>
                      <a:rPr lang="en-US"/>
                      <a:t>486 Milyon TL</a:t>
                    </a:r>
                  </a:p>
                </c:rich>
              </c:tx>
              <c:showLegendKey val="0"/>
              <c:showVal val="1"/>
              <c:showCatName val="0"/>
              <c:showSerName val="0"/>
              <c:showPercent val="0"/>
              <c:showBubbleSize val="0"/>
              <c:extLst>
                <c:ext xmlns:c15="http://schemas.microsoft.com/office/drawing/2012/chart" uri="{CE6537A1-D6FC-4f65-9D91-7224C49458BB}"/>
              </c:extLst>
            </c:dLbl>
            <c:spPr>
              <a:solidFill>
                <a:srgbClr val="5B9BD5">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Sayfa5!$F$634</c:f>
              <c:strCache>
                <c:ptCount val="1"/>
                <c:pt idx="0">
                  <c:v>Bütçe</c:v>
                </c:pt>
              </c:strCache>
            </c:strRef>
          </c:cat>
          <c:val>
            <c:numRef>
              <c:f>Sayfa5!$F$635</c:f>
              <c:numCache>
                <c:formatCode>General</c:formatCode>
                <c:ptCount val="1"/>
                <c:pt idx="0">
                  <c:v>486783000</c:v>
                </c:pt>
              </c:numCache>
            </c:numRef>
          </c:val>
        </c:ser>
        <c:ser>
          <c:idx val="1"/>
          <c:order val="1"/>
          <c:tx>
            <c:strRef>
              <c:f>Sayfa5!$E$636</c:f>
              <c:strCache>
                <c:ptCount val="1"/>
                <c:pt idx="0">
                  <c:v>2022</c:v>
                </c:pt>
              </c:strCache>
            </c:strRef>
          </c:tx>
          <c:spPr>
            <a:solidFill>
              <a:srgbClr val="1F497D">
                <a:lumMod val="60000"/>
                <a:lumOff val="40000"/>
                <a:alpha val="88000"/>
              </a:srgb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dLbl>
              <c:idx val="0"/>
              <c:tx>
                <c:rich>
                  <a:bodyPr/>
                  <a:lstStyle/>
                  <a:p>
                    <a:r>
                      <a:rPr lang="en-US"/>
                      <a:t>1 Milyar</a:t>
                    </a:r>
                    <a:r>
                      <a:rPr lang="en-US" baseline="0"/>
                      <a:t> 389 Milyon TL</a:t>
                    </a:r>
                    <a:endParaRPr lang="en-US"/>
                  </a:p>
                </c:rich>
              </c:tx>
              <c:showLegendKey val="0"/>
              <c:showVal val="1"/>
              <c:showCatName val="0"/>
              <c:showSerName val="0"/>
              <c:showPercent val="0"/>
              <c:showBubbleSize val="0"/>
              <c:extLst>
                <c:ext xmlns:c15="http://schemas.microsoft.com/office/drawing/2012/chart" uri="{CE6537A1-D6FC-4f65-9D91-7224C49458BB}"/>
              </c:extLst>
            </c:dLbl>
            <c:spPr>
              <a:solidFill>
                <a:srgbClr val="ED7D31">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lt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Sayfa5!$F$634</c:f>
              <c:strCache>
                <c:ptCount val="1"/>
                <c:pt idx="0">
                  <c:v>Bütçe</c:v>
                </c:pt>
              </c:strCache>
            </c:strRef>
          </c:cat>
          <c:val>
            <c:numRef>
              <c:f>Sayfa5!$F$636</c:f>
              <c:numCache>
                <c:formatCode>General</c:formatCode>
                <c:ptCount val="1"/>
                <c:pt idx="0">
                  <c:v>1389323000</c:v>
                </c:pt>
              </c:numCache>
            </c:numRef>
          </c:val>
        </c:ser>
        <c:dLbls>
          <c:showLegendKey val="0"/>
          <c:showVal val="1"/>
          <c:showCatName val="0"/>
          <c:showSerName val="0"/>
          <c:showPercent val="0"/>
          <c:showBubbleSize val="0"/>
        </c:dLbls>
        <c:gapWidth val="84"/>
        <c:gapDepth val="53"/>
        <c:shape val="box"/>
        <c:axId val="174838784"/>
        <c:axId val="268985472"/>
        <c:axId val="0"/>
      </c:bar3DChart>
      <c:catAx>
        <c:axId val="174838784"/>
        <c:scaling>
          <c:orientation val="minMax"/>
        </c:scaling>
        <c:delete val="1"/>
        <c:axPos val="b"/>
        <c:numFmt formatCode="General" sourceLinked="1"/>
        <c:majorTickMark val="none"/>
        <c:minorTickMark val="none"/>
        <c:tickLblPos val="nextTo"/>
        <c:crossAx val="268985472"/>
        <c:crosses val="autoZero"/>
        <c:auto val="1"/>
        <c:lblAlgn val="ctr"/>
        <c:lblOffset val="100"/>
        <c:noMultiLvlLbl val="0"/>
      </c:catAx>
      <c:valAx>
        <c:axId val="268985472"/>
        <c:scaling>
          <c:orientation val="minMax"/>
        </c:scaling>
        <c:delete val="1"/>
        <c:axPos val="l"/>
        <c:majorGridlines>
          <c:spPr>
            <a:ln w="9525">
              <a:solidFill>
                <a:schemeClr val="lt1">
                  <a:lumMod val="50000"/>
                </a:schemeClr>
              </a:solidFill>
            </a:ln>
            <a:effectLst/>
          </c:spPr>
        </c:majorGridlines>
        <c:numFmt formatCode="General" sourceLinked="1"/>
        <c:majorTickMark val="out"/>
        <c:minorTickMark val="none"/>
        <c:tickLblPos val="nextTo"/>
        <c:crossAx val="174838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lt1">
                  <a:lumMod val="75000"/>
                </a:schemeClr>
              </a:solidFill>
              <a:latin typeface="+mn-lt"/>
              <a:ea typeface="+mn-ea"/>
              <a:cs typeface="+mn-cs"/>
            </a:defRPr>
          </a:pPr>
          <a:endParaRPr lang="tr-TR"/>
        </a:p>
      </c:txPr>
    </c:legend>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tr-TR"/>
    </a:p>
  </c:tx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C5F07-7328-481C-AD6F-CFADE66E4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1143</Words>
  <Characters>6519</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Basın Danışmanı</dc:creator>
  <cp:lastModifiedBy>ASLI</cp:lastModifiedBy>
  <cp:revision>9</cp:revision>
  <cp:lastPrinted>2021-10-21T10:01:00Z</cp:lastPrinted>
  <dcterms:created xsi:type="dcterms:W3CDTF">2021-10-20T12:12:00Z</dcterms:created>
  <dcterms:modified xsi:type="dcterms:W3CDTF">2021-10-21T11:08:00Z</dcterms:modified>
</cp:coreProperties>
</file>