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FC898" w14:textId="77777777" w:rsidR="006573F6" w:rsidRDefault="006573F6" w:rsidP="006573F6">
      <w:pPr>
        <w:spacing w:line="240" w:lineRule="auto"/>
        <w:rPr>
          <w:rFonts w:ascii="Times New Roman" w:hAnsi="Times New Roman" w:cs="Times New Roman"/>
          <w:b/>
          <w:lang w:val="tr-TR"/>
        </w:rPr>
      </w:pPr>
    </w:p>
    <w:p w14:paraId="5ACF4682" w14:textId="77777777" w:rsidR="006573F6" w:rsidRPr="00036FED" w:rsidRDefault="006573F6" w:rsidP="006573F6">
      <w:pPr>
        <w:spacing w:line="240" w:lineRule="auto"/>
        <w:jc w:val="center"/>
        <w:rPr>
          <w:rFonts w:ascii="Times New Roman" w:hAnsi="Times New Roman" w:cs="Times New Roman"/>
          <w:b/>
          <w:sz w:val="23"/>
          <w:szCs w:val="23"/>
          <w:lang w:val="tr-TR"/>
        </w:rPr>
      </w:pPr>
      <w:r w:rsidRPr="00036FED">
        <w:rPr>
          <w:rFonts w:ascii="Times New Roman" w:hAnsi="Times New Roman" w:cs="Times New Roman"/>
          <w:b/>
          <w:sz w:val="23"/>
          <w:szCs w:val="23"/>
          <w:lang w:val="tr-TR"/>
        </w:rPr>
        <w:t>TBMM BAŞKANLIĞINA</w:t>
      </w:r>
    </w:p>
    <w:p w14:paraId="5CD0DA84" w14:textId="77777777" w:rsidR="006573F6" w:rsidRPr="00036FED" w:rsidRDefault="006573F6" w:rsidP="006573F6">
      <w:pPr>
        <w:spacing w:line="240" w:lineRule="auto"/>
        <w:ind w:firstLine="708"/>
        <w:jc w:val="both"/>
        <w:rPr>
          <w:rFonts w:ascii="Times New Roman" w:hAnsi="Times New Roman" w:cs="Times New Roman"/>
          <w:sz w:val="23"/>
          <w:szCs w:val="23"/>
          <w:lang w:val="tr-TR"/>
        </w:rPr>
      </w:pPr>
      <w:r w:rsidRPr="00036FED">
        <w:rPr>
          <w:rFonts w:ascii="Times New Roman" w:hAnsi="Times New Roman" w:cs="Times New Roman"/>
          <w:sz w:val="23"/>
          <w:szCs w:val="23"/>
          <w:lang w:val="tr-TR"/>
        </w:rPr>
        <w:t>Yükseköğretim Kurumlarında 657 Sayılı Devlet Memurları Kanunu kapsamında çalışan idari personel eğitim-öğretim süreci içerisinde</w:t>
      </w:r>
      <w:r w:rsidRPr="00036FED">
        <w:rPr>
          <w:rFonts w:ascii="Times New Roman" w:hAnsi="Times New Roman" w:cs="Times New Roman"/>
          <w:i/>
          <w:sz w:val="23"/>
          <w:szCs w:val="23"/>
          <w:lang w:val="tr-TR"/>
        </w:rPr>
        <w:t xml:space="preserve"> öğrenci işleri, yazı işleri, özlük, maaş, satın alma, taşınır kayıt kontrol, sekreterlik, şoförlük, güvenlik, zirai ve teknik hizmetler, laboratuvar hizmetleri, sağlık hizmetleri, yardımcı hizmetler vb. </w:t>
      </w:r>
      <w:r w:rsidRPr="00036FED">
        <w:rPr>
          <w:rFonts w:ascii="Times New Roman" w:hAnsi="Times New Roman" w:cs="Times New Roman"/>
          <w:sz w:val="23"/>
          <w:szCs w:val="23"/>
          <w:lang w:val="tr-TR"/>
        </w:rPr>
        <w:t xml:space="preserve">birçok aşamada etkin olarak görev yapmaktadır. Ancak Millî Eğitim Bakanlığı ve YÖK, yükseköğretim kurumlarında görev yapan idari personelin eğitim-öğretim sürecindeki emeğini yok saymakta ve eğitim-öğretim çarkının birer dişlisi olduğunu göz ardı etmektedir. Yerel yönetimlerde ve diğer bakanlıklarda idari personele verilen hiçbir ek ödemeden de yükseköğretim idari personelleri yararlanamamaktadır. </w:t>
      </w:r>
    </w:p>
    <w:p w14:paraId="535BEC5E" w14:textId="77777777" w:rsidR="006573F6" w:rsidRPr="00036FED" w:rsidRDefault="006573F6" w:rsidP="006573F6">
      <w:pPr>
        <w:spacing w:line="240" w:lineRule="auto"/>
        <w:jc w:val="both"/>
        <w:rPr>
          <w:rFonts w:ascii="Times New Roman" w:hAnsi="Times New Roman" w:cs="Times New Roman"/>
          <w:sz w:val="23"/>
          <w:szCs w:val="23"/>
          <w:lang w:val="tr-TR"/>
        </w:rPr>
      </w:pPr>
      <w:r w:rsidRPr="00036FED">
        <w:rPr>
          <w:rFonts w:ascii="Times New Roman" w:hAnsi="Times New Roman" w:cs="Times New Roman"/>
          <w:sz w:val="23"/>
          <w:szCs w:val="23"/>
          <w:lang w:val="tr-TR"/>
        </w:rPr>
        <w:tab/>
        <w:t xml:space="preserve">Çalışma barışının sağlanması ve idari personelin ekonomik kayıplarının kısmen karşılaması bakımından yükseköğretim kurumlarında akademik personele verilen yükseköğretim tazminatı, geliştirme ödeneği, üniversite ödeneği ve eğitim öğretim ödeneğinin idari personeli de kapsayacak şekilde yapılandırılması gerekmektedir. </w:t>
      </w:r>
    </w:p>
    <w:p w14:paraId="0887BA01" w14:textId="77777777" w:rsidR="006573F6" w:rsidRPr="00036FED" w:rsidRDefault="006573F6" w:rsidP="006573F6">
      <w:pPr>
        <w:spacing w:line="240" w:lineRule="auto"/>
        <w:ind w:firstLine="708"/>
        <w:jc w:val="both"/>
        <w:rPr>
          <w:rFonts w:ascii="Times New Roman" w:eastAsia="Times New Roman" w:hAnsi="Times New Roman" w:cs="Times New Roman"/>
          <w:sz w:val="23"/>
          <w:szCs w:val="23"/>
          <w:lang w:val="tr-TR"/>
        </w:rPr>
      </w:pPr>
      <w:r w:rsidRPr="00036FED">
        <w:rPr>
          <w:rFonts w:ascii="Times New Roman" w:hAnsi="Times New Roman" w:cs="Times New Roman"/>
          <w:sz w:val="23"/>
          <w:szCs w:val="23"/>
          <w:lang w:val="tr-TR"/>
        </w:rPr>
        <w:t xml:space="preserve">Eğitim emekçilerinin hakkını hiçbir fark gözetmeksizin savunan sendikamız EĞİTİM-İŞ OLARAK </w:t>
      </w:r>
      <w:r w:rsidRPr="00036FED">
        <w:rPr>
          <w:rFonts w:ascii="Times New Roman" w:hAnsi="Times New Roman" w:cs="Times New Roman"/>
          <w:b/>
          <w:sz w:val="23"/>
          <w:szCs w:val="23"/>
          <w:u w:val="single"/>
          <w:lang w:val="tr-TR"/>
        </w:rPr>
        <w:t>YÜKSEKÖĞRETİM TAZMİNATININ</w:t>
      </w:r>
      <w:r w:rsidRPr="00036FED">
        <w:rPr>
          <w:rFonts w:ascii="Times New Roman" w:hAnsi="Times New Roman" w:cs="Times New Roman"/>
          <w:bCs/>
          <w:sz w:val="23"/>
          <w:szCs w:val="23"/>
          <w:lang w:val="tr-TR"/>
        </w:rPr>
        <w:t xml:space="preserve">, </w:t>
      </w:r>
      <w:r w:rsidRPr="00036FED">
        <w:rPr>
          <w:rFonts w:ascii="Times New Roman" w:hAnsi="Times New Roman" w:cs="Times New Roman"/>
          <w:b/>
          <w:sz w:val="23"/>
          <w:szCs w:val="23"/>
          <w:u w:val="single"/>
          <w:lang w:val="tr-TR"/>
        </w:rPr>
        <w:t>GELİŞTİRME ÖDENEĞİNİN</w:t>
      </w:r>
      <w:r w:rsidRPr="00036FED">
        <w:rPr>
          <w:rFonts w:ascii="Times New Roman" w:hAnsi="Times New Roman" w:cs="Times New Roman"/>
          <w:bCs/>
          <w:sz w:val="23"/>
          <w:szCs w:val="23"/>
          <w:lang w:val="tr-TR"/>
        </w:rPr>
        <w:t xml:space="preserve">, </w:t>
      </w:r>
      <w:r w:rsidRPr="00036FED">
        <w:rPr>
          <w:rFonts w:ascii="Times New Roman" w:hAnsi="Times New Roman" w:cs="Times New Roman"/>
          <w:b/>
          <w:iCs/>
          <w:sz w:val="23"/>
          <w:szCs w:val="23"/>
          <w:u w:val="single"/>
          <w:lang w:val="tr-TR"/>
        </w:rPr>
        <w:t>ÜNİVERSİTE ÖDENEĞİNİN</w:t>
      </w:r>
      <w:r w:rsidRPr="00036FED">
        <w:rPr>
          <w:rFonts w:ascii="Times New Roman" w:hAnsi="Times New Roman" w:cs="Times New Roman"/>
          <w:i/>
          <w:iCs/>
          <w:sz w:val="23"/>
          <w:szCs w:val="23"/>
          <w:lang w:val="tr-TR"/>
        </w:rPr>
        <w:t xml:space="preserve"> </w:t>
      </w:r>
      <w:r w:rsidRPr="00036FED">
        <w:rPr>
          <w:rFonts w:ascii="Times New Roman" w:hAnsi="Times New Roman" w:cs="Times New Roman"/>
          <w:iCs/>
          <w:sz w:val="23"/>
          <w:szCs w:val="23"/>
          <w:lang w:val="tr-TR"/>
        </w:rPr>
        <w:t>ve</w:t>
      </w:r>
      <w:r w:rsidRPr="00036FED">
        <w:rPr>
          <w:rFonts w:ascii="Times New Roman" w:hAnsi="Times New Roman" w:cs="Times New Roman"/>
          <w:i/>
          <w:iCs/>
          <w:sz w:val="23"/>
          <w:szCs w:val="23"/>
          <w:lang w:val="tr-TR"/>
        </w:rPr>
        <w:t xml:space="preserve"> </w:t>
      </w:r>
      <w:r w:rsidRPr="00036FED">
        <w:rPr>
          <w:rFonts w:ascii="Times New Roman" w:hAnsi="Times New Roman" w:cs="Times New Roman"/>
          <w:b/>
          <w:bCs/>
          <w:sz w:val="23"/>
          <w:szCs w:val="23"/>
          <w:u w:val="single"/>
          <w:lang w:val="tr-TR"/>
        </w:rPr>
        <w:t>EĞİTİM -ÖĞRETİM ÖDENEĞİNİN</w:t>
      </w:r>
      <w:r w:rsidRPr="00036FED">
        <w:rPr>
          <w:rFonts w:ascii="Times New Roman" w:hAnsi="Times New Roman" w:cs="Times New Roman"/>
          <w:i/>
          <w:iCs/>
          <w:sz w:val="23"/>
          <w:szCs w:val="23"/>
          <w:lang w:val="tr-TR"/>
        </w:rPr>
        <w:t xml:space="preserve"> </w:t>
      </w:r>
      <w:r w:rsidRPr="00036FED">
        <w:rPr>
          <w:rFonts w:ascii="Times New Roman" w:hAnsi="Times New Roman" w:cs="Times New Roman"/>
          <w:sz w:val="23"/>
          <w:szCs w:val="23"/>
          <w:lang w:val="tr-TR"/>
        </w:rPr>
        <w:t xml:space="preserve">ayrım yapılmaksızın tüm yükseköğretim kurumları personeline </w:t>
      </w:r>
      <w:r w:rsidRPr="00036FED">
        <w:rPr>
          <w:rFonts w:ascii="Times New Roman" w:eastAsia="Times New Roman" w:hAnsi="Times New Roman" w:cs="Times New Roman"/>
          <w:sz w:val="23"/>
          <w:szCs w:val="23"/>
          <w:lang w:val="tr-TR"/>
        </w:rPr>
        <w:t>ödenmesi için gerekli yasal düzenlemelerin ivedilikle yapılarak hak mağduriyetlerinin giderilmesini talep ediyoruz.</w:t>
      </w:r>
    </w:p>
    <w:p w14:paraId="59F76266" w14:textId="77777777" w:rsidR="006573F6" w:rsidRPr="00E91AF1" w:rsidRDefault="006573F6" w:rsidP="006573F6">
      <w:pPr>
        <w:pStyle w:val="AralkYok"/>
        <w:ind w:firstLine="708"/>
        <w:jc w:val="both"/>
        <w:rPr>
          <w:sz w:val="24"/>
          <w:szCs w:val="24"/>
        </w:rPr>
      </w:pPr>
    </w:p>
    <w:tbl>
      <w:tblPr>
        <w:tblStyle w:val="TabloKlavuzu"/>
        <w:tblW w:w="0" w:type="auto"/>
        <w:tblLook w:val="04A0" w:firstRow="1" w:lastRow="0" w:firstColumn="1" w:lastColumn="0" w:noHBand="0" w:noVBand="1"/>
      </w:tblPr>
      <w:tblGrid>
        <w:gridCol w:w="681"/>
        <w:gridCol w:w="2433"/>
        <w:gridCol w:w="1984"/>
        <w:gridCol w:w="3828"/>
        <w:gridCol w:w="1530"/>
      </w:tblGrid>
      <w:tr w:rsidR="006573F6" w14:paraId="73BEC819" w14:textId="77777777" w:rsidTr="002A5AA0">
        <w:tc>
          <w:tcPr>
            <w:tcW w:w="681" w:type="dxa"/>
          </w:tcPr>
          <w:p w14:paraId="0286B914" w14:textId="77777777" w:rsidR="006573F6" w:rsidRPr="00420182" w:rsidRDefault="006573F6" w:rsidP="002A5AA0">
            <w:pPr>
              <w:spacing w:line="480" w:lineRule="auto"/>
              <w:rPr>
                <w:b/>
                <w:sz w:val="24"/>
                <w:szCs w:val="24"/>
              </w:rPr>
            </w:pPr>
            <w:r w:rsidRPr="00420182">
              <w:rPr>
                <w:b/>
                <w:sz w:val="24"/>
                <w:szCs w:val="24"/>
              </w:rPr>
              <w:t>S.No</w:t>
            </w:r>
          </w:p>
        </w:tc>
        <w:tc>
          <w:tcPr>
            <w:tcW w:w="2433" w:type="dxa"/>
          </w:tcPr>
          <w:p w14:paraId="0576D576" w14:textId="77777777" w:rsidR="006573F6" w:rsidRPr="00420182" w:rsidRDefault="006573F6" w:rsidP="002A5AA0">
            <w:pPr>
              <w:spacing w:line="480" w:lineRule="auto"/>
              <w:jc w:val="center"/>
              <w:rPr>
                <w:b/>
                <w:sz w:val="24"/>
                <w:szCs w:val="24"/>
              </w:rPr>
            </w:pPr>
            <w:r w:rsidRPr="00420182">
              <w:rPr>
                <w:b/>
                <w:sz w:val="24"/>
                <w:szCs w:val="24"/>
              </w:rPr>
              <w:t>Adı-Soyadı</w:t>
            </w:r>
          </w:p>
        </w:tc>
        <w:tc>
          <w:tcPr>
            <w:tcW w:w="1984" w:type="dxa"/>
          </w:tcPr>
          <w:p w14:paraId="3AE7D541" w14:textId="77777777" w:rsidR="006573F6" w:rsidRPr="00420182" w:rsidRDefault="006573F6" w:rsidP="002A5AA0">
            <w:pPr>
              <w:spacing w:line="480" w:lineRule="auto"/>
              <w:jc w:val="center"/>
              <w:rPr>
                <w:b/>
                <w:sz w:val="24"/>
                <w:szCs w:val="24"/>
              </w:rPr>
            </w:pPr>
            <w:r>
              <w:rPr>
                <w:b/>
                <w:sz w:val="24"/>
                <w:szCs w:val="24"/>
              </w:rPr>
              <w:t>İl</w:t>
            </w:r>
          </w:p>
        </w:tc>
        <w:tc>
          <w:tcPr>
            <w:tcW w:w="3828" w:type="dxa"/>
          </w:tcPr>
          <w:p w14:paraId="6AECF0B9" w14:textId="77777777" w:rsidR="006573F6" w:rsidRPr="00420182" w:rsidRDefault="006573F6" w:rsidP="002A5AA0">
            <w:pPr>
              <w:spacing w:line="480" w:lineRule="auto"/>
              <w:jc w:val="center"/>
              <w:rPr>
                <w:b/>
                <w:sz w:val="24"/>
                <w:szCs w:val="24"/>
              </w:rPr>
            </w:pPr>
            <w:r>
              <w:rPr>
                <w:b/>
                <w:sz w:val="24"/>
                <w:szCs w:val="24"/>
              </w:rPr>
              <w:t>Üniversite/Fakülte</w:t>
            </w:r>
          </w:p>
        </w:tc>
        <w:tc>
          <w:tcPr>
            <w:tcW w:w="1530" w:type="dxa"/>
          </w:tcPr>
          <w:p w14:paraId="1EDBDD20" w14:textId="77777777" w:rsidR="006573F6" w:rsidRPr="00420182" w:rsidRDefault="006573F6" w:rsidP="002A5AA0">
            <w:pPr>
              <w:spacing w:line="480" w:lineRule="auto"/>
              <w:jc w:val="center"/>
              <w:rPr>
                <w:b/>
                <w:sz w:val="24"/>
                <w:szCs w:val="24"/>
              </w:rPr>
            </w:pPr>
            <w:r>
              <w:rPr>
                <w:b/>
                <w:sz w:val="24"/>
                <w:szCs w:val="24"/>
              </w:rPr>
              <w:t>İmza</w:t>
            </w:r>
          </w:p>
        </w:tc>
      </w:tr>
      <w:tr w:rsidR="006573F6" w:rsidRPr="00313710" w14:paraId="3A19B1BA" w14:textId="77777777" w:rsidTr="002A5AA0">
        <w:tc>
          <w:tcPr>
            <w:tcW w:w="681" w:type="dxa"/>
          </w:tcPr>
          <w:p w14:paraId="790F5F1D" w14:textId="77777777" w:rsidR="006573F6" w:rsidRPr="00313710" w:rsidRDefault="006573F6" w:rsidP="002A5AA0">
            <w:pPr>
              <w:spacing w:line="480" w:lineRule="auto"/>
              <w:jc w:val="center"/>
              <w:rPr>
                <w:b/>
              </w:rPr>
            </w:pPr>
            <w:r w:rsidRPr="00313710">
              <w:rPr>
                <w:b/>
              </w:rPr>
              <w:t>01</w:t>
            </w:r>
          </w:p>
        </w:tc>
        <w:tc>
          <w:tcPr>
            <w:tcW w:w="2433" w:type="dxa"/>
          </w:tcPr>
          <w:p w14:paraId="5DC0DB70" w14:textId="77777777" w:rsidR="006573F6" w:rsidRPr="00313710" w:rsidRDefault="006573F6" w:rsidP="002A5AA0">
            <w:pPr>
              <w:spacing w:line="480" w:lineRule="auto"/>
              <w:jc w:val="center"/>
              <w:rPr>
                <w:b/>
              </w:rPr>
            </w:pPr>
          </w:p>
        </w:tc>
        <w:tc>
          <w:tcPr>
            <w:tcW w:w="1984" w:type="dxa"/>
          </w:tcPr>
          <w:p w14:paraId="4AAF33ED" w14:textId="77777777" w:rsidR="006573F6" w:rsidRPr="00313710" w:rsidRDefault="006573F6" w:rsidP="002A5AA0">
            <w:pPr>
              <w:spacing w:line="480" w:lineRule="auto"/>
              <w:jc w:val="center"/>
              <w:rPr>
                <w:b/>
              </w:rPr>
            </w:pPr>
          </w:p>
        </w:tc>
        <w:tc>
          <w:tcPr>
            <w:tcW w:w="3828" w:type="dxa"/>
          </w:tcPr>
          <w:p w14:paraId="3E67D594" w14:textId="77777777" w:rsidR="006573F6" w:rsidRPr="00313710" w:rsidRDefault="006573F6" w:rsidP="002A5AA0">
            <w:pPr>
              <w:spacing w:line="480" w:lineRule="auto"/>
              <w:jc w:val="center"/>
              <w:rPr>
                <w:b/>
              </w:rPr>
            </w:pPr>
          </w:p>
        </w:tc>
        <w:tc>
          <w:tcPr>
            <w:tcW w:w="1530" w:type="dxa"/>
          </w:tcPr>
          <w:p w14:paraId="3079575F" w14:textId="77777777" w:rsidR="006573F6" w:rsidRPr="00313710" w:rsidRDefault="006573F6" w:rsidP="002A5AA0">
            <w:pPr>
              <w:spacing w:line="480" w:lineRule="auto"/>
              <w:jc w:val="center"/>
              <w:rPr>
                <w:b/>
              </w:rPr>
            </w:pPr>
          </w:p>
        </w:tc>
      </w:tr>
      <w:tr w:rsidR="006573F6" w:rsidRPr="00313710" w14:paraId="7B984645" w14:textId="77777777" w:rsidTr="002A5AA0">
        <w:tc>
          <w:tcPr>
            <w:tcW w:w="681" w:type="dxa"/>
          </w:tcPr>
          <w:p w14:paraId="06C3FAB9" w14:textId="77777777" w:rsidR="006573F6" w:rsidRPr="00313710" w:rsidRDefault="006573F6" w:rsidP="002A5AA0">
            <w:pPr>
              <w:spacing w:line="480" w:lineRule="auto"/>
              <w:jc w:val="center"/>
              <w:rPr>
                <w:b/>
              </w:rPr>
            </w:pPr>
            <w:r w:rsidRPr="00313710">
              <w:rPr>
                <w:b/>
              </w:rPr>
              <w:t>02</w:t>
            </w:r>
          </w:p>
        </w:tc>
        <w:tc>
          <w:tcPr>
            <w:tcW w:w="2433" w:type="dxa"/>
          </w:tcPr>
          <w:p w14:paraId="27764FFE" w14:textId="77777777" w:rsidR="006573F6" w:rsidRPr="00313710" w:rsidRDefault="006573F6" w:rsidP="002A5AA0">
            <w:pPr>
              <w:spacing w:line="480" w:lineRule="auto"/>
              <w:jc w:val="center"/>
              <w:rPr>
                <w:b/>
              </w:rPr>
            </w:pPr>
          </w:p>
        </w:tc>
        <w:tc>
          <w:tcPr>
            <w:tcW w:w="1984" w:type="dxa"/>
          </w:tcPr>
          <w:p w14:paraId="00E79360" w14:textId="77777777" w:rsidR="006573F6" w:rsidRPr="00313710" w:rsidRDefault="006573F6" w:rsidP="002A5AA0">
            <w:pPr>
              <w:spacing w:line="480" w:lineRule="auto"/>
              <w:jc w:val="center"/>
              <w:rPr>
                <w:b/>
              </w:rPr>
            </w:pPr>
          </w:p>
        </w:tc>
        <w:tc>
          <w:tcPr>
            <w:tcW w:w="3828" w:type="dxa"/>
          </w:tcPr>
          <w:p w14:paraId="4F0D8405" w14:textId="77777777" w:rsidR="006573F6" w:rsidRPr="00313710" w:rsidRDefault="006573F6" w:rsidP="002A5AA0">
            <w:pPr>
              <w:spacing w:line="480" w:lineRule="auto"/>
              <w:jc w:val="center"/>
              <w:rPr>
                <w:b/>
              </w:rPr>
            </w:pPr>
          </w:p>
        </w:tc>
        <w:tc>
          <w:tcPr>
            <w:tcW w:w="1530" w:type="dxa"/>
          </w:tcPr>
          <w:p w14:paraId="548E8BDB" w14:textId="77777777" w:rsidR="006573F6" w:rsidRPr="00313710" w:rsidRDefault="006573F6" w:rsidP="002A5AA0">
            <w:pPr>
              <w:spacing w:line="480" w:lineRule="auto"/>
              <w:jc w:val="center"/>
              <w:rPr>
                <w:b/>
              </w:rPr>
            </w:pPr>
          </w:p>
        </w:tc>
      </w:tr>
      <w:tr w:rsidR="006573F6" w:rsidRPr="00313710" w14:paraId="1688F468" w14:textId="77777777" w:rsidTr="002A5AA0">
        <w:tc>
          <w:tcPr>
            <w:tcW w:w="681" w:type="dxa"/>
          </w:tcPr>
          <w:p w14:paraId="1BCCAC9F" w14:textId="77777777" w:rsidR="006573F6" w:rsidRPr="00313710" w:rsidRDefault="006573F6" w:rsidP="002A5AA0">
            <w:pPr>
              <w:spacing w:line="480" w:lineRule="auto"/>
              <w:jc w:val="center"/>
              <w:rPr>
                <w:b/>
              </w:rPr>
            </w:pPr>
            <w:r w:rsidRPr="00313710">
              <w:rPr>
                <w:b/>
              </w:rPr>
              <w:t>03</w:t>
            </w:r>
          </w:p>
        </w:tc>
        <w:tc>
          <w:tcPr>
            <w:tcW w:w="2433" w:type="dxa"/>
          </w:tcPr>
          <w:p w14:paraId="16070470" w14:textId="77777777" w:rsidR="006573F6" w:rsidRPr="00313710" w:rsidRDefault="006573F6" w:rsidP="002A5AA0">
            <w:pPr>
              <w:spacing w:line="480" w:lineRule="auto"/>
              <w:jc w:val="center"/>
              <w:rPr>
                <w:b/>
              </w:rPr>
            </w:pPr>
          </w:p>
        </w:tc>
        <w:tc>
          <w:tcPr>
            <w:tcW w:w="1984" w:type="dxa"/>
          </w:tcPr>
          <w:p w14:paraId="26420AC4" w14:textId="77777777" w:rsidR="006573F6" w:rsidRPr="00313710" w:rsidRDefault="006573F6" w:rsidP="002A5AA0">
            <w:pPr>
              <w:spacing w:line="480" w:lineRule="auto"/>
              <w:jc w:val="center"/>
              <w:rPr>
                <w:b/>
              </w:rPr>
            </w:pPr>
          </w:p>
        </w:tc>
        <w:tc>
          <w:tcPr>
            <w:tcW w:w="3828" w:type="dxa"/>
          </w:tcPr>
          <w:p w14:paraId="4EA3BF05" w14:textId="77777777" w:rsidR="006573F6" w:rsidRPr="00313710" w:rsidRDefault="006573F6" w:rsidP="002A5AA0">
            <w:pPr>
              <w:spacing w:line="480" w:lineRule="auto"/>
              <w:jc w:val="center"/>
              <w:rPr>
                <w:b/>
              </w:rPr>
            </w:pPr>
          </w:p>
        </w:tc>
        <w:tc>
          <w:tcPr>
            <w:tcW w:w="1530" w:type="dxa"/>
          </w:tcPr>
          <w:p w14:paraId="7AE3F708" w14:textId="77777777" w:rsidR="006573F6" w:rsidRPr="00313710" w:rsidRDefault="006573F6" w:rsidP="002A5AA0">
            <w:pPr>
              <w:spacing w:line="480" w:lineRule="auto"/>
              <w:jc w:val="center"/>
              <w:rPr>
                <w:b/>
              </w:rPr>
            </w:pPr>
          </w:p>
        </w:tc>
      </w:tr>
      <w:tr w:rsidR="006573F6" w:rsidRPr="00313710" w14:paraId="52222513" w14:textId="77777777" w:rsidTr="002A5AA0">
        <w:tc>
          <w:tcPr>
            <w:tcW w:w="681" w:type="dxa"/>
          </w:tcPr>
          <w:p w14:paraId="1F14EF0F" w14:textId="77777777" w:rsidR="006573F6" w:rsidRPr="00313710" w:rsidRDefault="006573F6" w:rsidP="002A5AA0">
            <w:pPr>
              <w:spacing w:line="480" w:lineRule="auto"/>
              <w:jc w:val="center"/>
              <w:rPr>
                <w:b/>
              </w:rPr>
            </w:pPr>
            <w:r w:rsidRPr="00313710">
              <w:rPr>
                <w:b/>
              </w:rPr>
              <w:t>04</w:t>
            </w:r>
          </w:p>
        </w:tc>
        <w:tc>
          <w:tcPr>
            <w:tcW w:w="2433" w:type="dxa"/>
          </w:tcPr>
          <w:p w14:paraId="0123CB8C" w14:textId="77777777" w:rsidR="006573F6" w:rsidRPr="00313710" w:rsidRDefault="006573F6" w:rsidP="002A5AA0">
            <w:pPr>
              <w:spacing w:line="480" w:lineRule="auto"/>
              <w:jc w:val="center"/>
              <w:rPr>
                <w:b/>
              </w:rPr>
            </w:pPr>
          </w:p>
        </w:tc>
        <w:tc>
          <w:tcPr>
            <w:tcW w:w="1984" w:type="dxa"/>
          </w:tcPr>
          <w:p w14:paraId="55447D12" w14:textId="77777777" w:rsidR="006573F6" w:rsidRPr="00313710" w:rsidRDefault="006573F6" w:rsidP="002A5AA0">
            <w:pPr>
              <w:spacing w:line="480" w:lineRule="auto"/>
              <w:jc w:val="center"/>
              <w:rPr>
                <w:b/>
              </w:rPr>
            </w:pPr>
          </w:p>
        </w:tc>
        <w:tc>
          <w:tcPr>
            <w:tcW w:w="3828" w:type="dxa"/>
          </w:tcPr>
          <w:p w14:paraId="3F7EF2C2" w14:textId="77777777" w:rsidR="006573F6" w:rsidRPr="00313710" w:rsidRDefault="006573F6" w:rsidP="002A5AA0">
            <w:pPr>
              <w:spacing w:line="480" w:lineRule="auto"/>
              <w:jc w:val="center"/>
              <w:rPr>
                <w:b/>
              </w:rPr>
            </w:pPr>
          </w:p>
        </w:tc>
        <w:tc>
          <w:tcPr>
            <w:tcW w:w="1530" w:type="dxa"/>
          </w:tcPr>
          <w:p w14:paraId="0433CBE8" w14:textId="77777777" w:rsidR="006573F6" w:rsidRPr="00313710" w:rsidRDefault="006573F6" w:rsidP="002A5AA0">
            <w:pPr>
              <w:spacing w:line="480" w:lineRule="auto"/>
              <w:jc w:val="center"/>
              <w:rPr>
                <w:b/>
              </w:rPr>
            </w:pPr>
          </w:p>
        </w:tc>
      </w:tr>
      <w:tr w:rsidR="006573F6" w:rsidRPr="00313710" w14:paraId="4FC1D92C" w14:textId="77777777" w:rsidTr="002A5AA0">
        <w:tc>
          <w:tcPr>
            <w:tcW w:w="681" w:type="dxa"/>
          </w:tcPr>
          <w:p w14:paraId="02F520AC" w14:textId="77777777" w:rsidR="006573F6" w:rsidRPr="00313710" w:rsidRDefault="006573F6" w:rsidP="002A5AA0">
            <w:pPr>
              <w:spacing w:line="480" w:lineRule="auto"/>
              <w:jc w:val="center"/>
              <w:rPr>
                <w:b/>
              </w:rPr>
            </w:pPr>
            <w:r w:rsidRPr="00313710">
              <w:rPr>
                <w:b/>
              </w:rPr>
              <w:t>05</w:t>
            </w:r>
          </w:p>
        </w:tc>
        <w:tc>
          <w:tcPr>
            <w:tcW w:w="2433" w:type="dxa"/>
          </w:tcPr>
          <w:p w14:paraId="10F32700" w14:textId="77777777" w:rsidR="006573F6" w:rsidRPr="00313710" w:rsidRDefault="006573F6" w:rsidP="002A5AA0">
            <w:pPr>
              <w:spacing w:line="480" w:lineRule="auto"/>
              <w:jc w:val="center"/>
              <w:rPr>
                <w:b/>
              </w:rPr>
            </w:pPr>
          </w:p>
        </w:tc>
        <w:tc>
          <w:tcPr>
            <w:tcW w:w="1984" w:type="dxa"/>
          </w:tcPr>
          <w:p w14:paraId="5B2BED8A" w14:textId="77777777" w:rsidR="006573F6" w:rsidRPr="00313710" w:rsidRDefault="006573F6" w:rsidP="002A5AA0">
            <w:pPr>
              <w:spacing w:line="480" w:lineRule="auto"/>
              <w:jc w:val="center"/>
              <w:rPr>
                <w:b/>
              </w:rPr>
            </w:pPr>
          </w:p>
        </w:tc>
        <w:tc>
          <w:tcPr>
            <w:tcW w:w="3828" w:type="dxa"/>
          </w:tcPr>
          <w:p w14:paraId="3F449D00" w14:textId="77777777" w:rsidR="006573F6" w:rsidRPr="00313710" w:rsidRDefault="006573F6" w:rsidP="002A5AA0">
            <w:pPr>
              <w:spacing w:line="480" w:lineRule="auto"/>
              <w:jc w:val="center"/>
              <w:rPr>
                <w:b/>
              </w:rPr>
            </w:pPr>
          </w:p>
        </w:tc>
        <w:tc>
          <w:tcPr>
            <w:tcW w:w="1530" w:type="dxa"/>
          </w:tcPr>
          <w:p w14:paraId="4647E8FC" w14:textId="77777777" w:rsidR="006573F6" w:rsidRPr="00313710" w:rsidRDefault="006573F6" w:rsidP="002A5AA0">
            <w:pPr>
              <w:spacing w:line="480" w:lineRule="auto"/>
              <w:jc w:val="center"/>
              <w:rPr>
                <w:b/>
              </w:rPr>
            </w:pPr>
          </w:p>
        </w:tc>
      </w:tr>
      <w:tr w:rsidR="006573F6" w:rsidRPr="00313710" w14:paraId="20A4CF80" w14:textId="77777777" w:rsidTr="002A5AA0">
        <w:tc>
          <w:tcPr>
            <w:tcW w:w="681" w:type="dxa"/>
          </w:tcPr>
          <w:p w14:paraId="5AB54DB7" w14:textId="77777777" w:rsidR="006573F6" w:rsidRPr="00313710" w:rsidRDefault="006573F6" w:rsidP="002A5AA0">
            <w:pPr>
              <w:spacing w:line="480" w:lineRule="auto"/>
              <w:jc w:val="center"/>
              <w:rPr>
                <w:b/>
              </w:rPr>
            </w:pPr>
            <w:r w:rsidRPr="00313710">
              <w:rPr>
                <w:b/>
              </w:rPr>
              <w:t>06</w:t>
            </w:r>
          </w:p>
        </w:tc>
        <w:tc>
          <w:tcPr>
            <w:tcW w:w="2433" w:type="dxa"/>
          </w:tcPr>
          <w:p w14:paraId="7873526C" w14:textId="77777777" w:rsidR="006573F6" w:rsidRPr="00313710" w:rsidRDefault="006573F6" w:rsidP="002A5AA0">
            <w:pPr>
              <w:spacing w:line="480" w:lineRule="auto"/>
              <w:jc w:val="center"/>
              <w:rPr>
                <w:b/>
              </w:rPr>
            </w:pPr>
          </w:p>
        </w:tc>
        <w:tc>
          <w:tcPr>
            <w:tcW w:w="1984" w:type="dxa"/>
          </w:tcPr>
          <w:p w14:paraId="7B2DFD7B" w14:textId="77777777" w:rsidR="006573F6" w:rsidRPr="00313710" w:rsidRDefault="006573F6" w:rsidP="002A5AA0">
            <w:pPr>
              <w:spacing w:line="480" w:lineRule="auto"/>
              <w:jc w:val="center"/>
              <w:rPr>
                <w:b/>
              </w:rPr>
            </w:pPr>
          </w:p>
        </w:tc>
        <w:tc>
          <w:tcPr>
            <w:tcW w:w="3828" w:type="dxa"/>
          </w:tcPr>
          <w:p w14:paraId="2E624874" w14:textId="77777777" w:rsidR="006573F6" w:rsidRPr="00313710" w:rsidRDefault="006573F6" w:rsidP="002A5AA0">
            <w:pPr>
              <w:spacing w:line="480" w:lineRule="auto"/>
              <w:jc w:val="center"/>
              <w:rPr>
                <w:b/>
              </w:rPr>
            </w:pPr>
          </w:p>
        </w:tc>
        <w:tc>
          <w:tcPr>
            <w:tcW w:w="1530" w:type="dxa"/>
          </w:tcPr>
          <w:p w14:paraId="0B824BDB" w14:textId="77777777" w:rsidR="006573F6" w:rsidRPr="00313710" w:rsidRDefault="006573F6" w:rsidP="002A5AA0">
            <w:pPr>
              <w:spacing w:line="480" w:lineRule="auto"/>
              <w:jc w:val="center"/>
              <w:rPr>
                <w:b/>
              </w:rPr>
            </w:pPr>
          </w:p>
        </w:tc>
        <w:bookmarkStart w:id="0" w:name="_GoBack"/>
        <w:bookmarkEnd w:id="0"/>
      </w:tr>
      <w:tr w:rsidR="006573F6" w:rsidRPr="00313710" w14:paraId="44245F0D" w14:textId="77777777" w:rsidTr="002A5AA0">
        <w:tc>
          <w:tcPr>
            <w:tcW w:w="681" w:type="dxa"/>
          </w:tcPr>
          <w:p w14:paraId="6DB92B27" w14:textId="77777777" w:rsidR="006573F6" w:rsidRPr="00313710" w:rsidRDefault="006573F6" w:rsidP="002A5AA0">
            <w:pPr>
              <w:spacing w:line="480" w:lineRule="auto"/>
              <w:jc w:val="center"/>
              <w:rPr>
                <w:b/>
              </w:rPr>
            </w:pPr>
            <w:r w:rsidRPr="00313710">
              <w:rPr>
                <w:b/>
              </w:rPr>
              <w:t>07</w:t>
            </w:r>
          </w:p>
        </w:tc>
        <w:tc>
          <w:tcPr>
            <w:tcW w:w="2433" w:type="dxa"/>
          </w:tcPr>
          <w:p w14:paraId="73B96635" w14:textId="77777777" w:rsidR="006573F6" w:rsidRPr="00313710" w:rsidRDefault="006573F6" w:rsidP="002A5AA0">
            <w:pPr>
              <w:spacing w:line="480" w:lineRule="auto"/>
              <w:jc w:val="center"/>
              <w:rPr>
                <w:b/>
              </w:rPr>
            </w:pPr>
          </w:p>
        </w:tc>
        <w:tc>
          <w:tcPr>
            <w:tcW w:w="1984" w:type="dxa"/>
          </w:tcPr>
          <w:p w14:paraId="2A9306F3" w14:textId="77777777" w:rsidR="006573F6" w:rsidRPr="00313710" w:rsidRDefault="006573F6" w:rsidP="002A5AA0">
            <w:pPr>
              <w:spacing w:line="480" w:lineRule="auto"/>
              <w:jc w:val="center"/>
              <w:rPr>
                <w:b/>
              </w:rPr>
            </w:pPr>
          </w:p>
        </w:tc>
        <w:tc>
          <w:tcPr>
            <w:tcW w:w="3828" w:type="dxa"/>
          </w:tcPr>
          <w:p w14:paraId="657E7051" w14:textId="77777777" w:rsidR="006573F6" w:rsidRPr="00313710" w:rsidRDefault="006573F6" w:rsidP="002A5AA0">
            <w:pPr>
              <w:spacing w:line="480" w:lineRule="auto"/>
              <w:jc w:val="center"/>
              <w:rPr>
                <w:b/>
              </w:rPr>
            </w:pPr>
          </w:p>
        </w:tc>
        <w:tc>
          <w:tcPr>
            <w:tcW w:w="1530" w:type="dxa"/>
          </w:tcPr>
          <w:p w14:paraId="3EA7BDAD" w14:textId="77777777" w:rsidR="006573F6" w:rsidRPr="00313710" w:rsidRDefault="006573F6" w:rsidP="002A5AA0">
            <w:pPr>
              <w:spacing w:line="480" w:lineRule="auto"/>
              <w:jc w:val="center"/>
              <w:rPr>
                <w:b/>
              </w:rPr>
            </w:pPr>
          </w:p>
        </w:tc>
      </w:tr>
      <w:tr w:rsidR="006573F6" w:rsidRPr="00313710" w14:paraId="78924E24" w14:textId="77777777" w:rsidTr="002A5AA0">
        <w:tc>
          <w:tcPr>
            <w:tcW w:w="681" w:type="dxa"/>
          </w:tcPr>
          <w:p w14:paraId="425F6152" w14:textId="77777777" w:rsidR="006573F6" w:rsidRPr="00313710" w:rsidRDefault="006573F6" w:rsidP="002A5AA0">
            <w:pPr>
              <w:spacing w:line="480" w:lineRule="auto"/>
              <w:jc w:val="center"/>
              <w:rPr>
                <w:b/>
              </w:rPr>
            </w:pPr>
            <w:r w:rsidRPr="00313710">
              <w:rPr>
                <w:b/>
              </w:rPr>
              <w:t>08</w:t>
            </w:r>
          </w:p>
        </w:tc>
        <w:tc>
          <w:tcPr>
            <w:tcW w:w="2433" w:type="dxa"/>
          </w:tcPr>
          <w:p w14:paraId="60255A55" w14:textId="77777777" w:rsidR="006573F6" w:rsidRPr="00313710" w:rsidRDefault="006573F6" w:rsidP="002A5AA0">
            <w:pPr>
              <w:spacing w:line="480" w:lineRule="auto"/>
              <w:jc w:val="center"/>
              <w:rPr>
                <w:b/>
              </w:rPr>
            </w:pPr>
          </w:p>
        </w:tc>
        <w:tc>
          <w:tcPr>
            <w:tcW w:w="1984" w:type="dxa"/>
          </w:tcPr>
          <w:p w14:paraId="14075D07" w14:textId="77777777" w:rsidR="006573F6" w:rsidRPr="00313710" w:rsidRDefault="006573F6" w:rsidP="002A5AA0">
            <w:pPr>
              <w:spacing w:line="480" w:lineRule="auto"/>
              <w:jc w:val="center"/>
              <w:rPr>
                <w:b/>
              </w:rPr>
            </w:pPr>
          </w:p>
        </w:tc>
        <w:tc>
          <w:tcPr>
            <w:tcW w:w="3828" w:type="dxa"/>
          </w:tcPr>
          <w:p w14:paraId="79888977" w14:textId="77777777" w:rsidR="006573F6" w:rsidRPr="00313710" w:rsidRDefault="006573F6" w:rsidP="002A5AA0">
            <w:pPr>
              <w:spacing w:line="480" w:lineRule="auto"/>
              <w:jc w:val="center"/>
              <w:rPr>
                <w:b/>
              </w:rPr>
            </w:pPr>
          </w:p>
        </w:tc>
        <w:tc>
          <w:tcPr>
            <w:tcW w:w="1530" w:type="dxa"/>
          </w:tcPr>
          <w:p w14:paraId="060E95B7" w14:textId="77777777" w:rsidR="006573F6" w:rsidRPr="00313710" w:rsidRDefault="006573F6" w:rsidP="002A5AA0">
            <w:pPr>
              <w:spacing w:line="480" w:lineRule="auto"/>
              <w:jc w:val="center"/>
              <w:rPr>
                <w:b/>
              </w:rPr>
            </w:pPr>
          </w:p>
        </w:tc>
      </w:tr>
      <w:tr w:rsidR="006573F6" w:rsidRPr="00313710" w14:paraId="6DB13A17" w14:textId="77777777" w:rsidTr="002A5AA0">
        <w:tc>
          <w:tcPr>
            <w:tcW w:w="681" w:type="dxa"/>
          </w:tcPr>
          <w:p w14:paraId="1FCCB1EB" w14:textId="77777777" w:rsidR="006573F6" w:rsidRPr="00313710" w:rsidRDefault="006573F6" w:rsidP="002A5AA0">
            <w:pPr>
              <w:spacing w:line="480" w:lineRule="auto"/>
              <w:jc w:val="center"/>
              <w:rPr>
                <w:b/>
              </w:rPr>
            </w:pPr>
            <w:r w:rsidRPr="00313710">
              <w:rPr>
                <w:b/>
              </w:rPr>
              <w:t>09</w:t>
            </w:r>
          </w:p>
        </w:tc>
        <w:tc>
          <w:tcPr>
            <w:tcW w:w="2433" w:type="dxa"/>
          </w:tcPr>
          <w:p w14:paraId="0AD23B26" w14:textId="77777777" w:rsidR="006573F6" w:rsidRPr="00313710" w:rsidRDefault="006573F6" w:rsidP="002A5AA0">
            <w:pPr>
              <w:spacing w:line="480" w:lineRule="auto"/>
              <w:jc w:val="center"/>
              <w:rPr>
                <w:b/>
              </w:rPr>
            </w:pPr>
          </w:p>
        </w:tc>
        <w:tc>
          <w:tcPr>
            <w:tcW w:w="1984" w:type="dxa"/>
          </w:tcPr>
          <w:p w14:paraId="3E33CBD0" w14:textId="77777777" w:rsidR="006573F6" w:rsidRPr="00313710" w:rsidRDefault="006573F6" w:rsidP="002A5AA0">
            <w:pPr>
              <w:spacing w:line="480" w:lineRule="auto"/>
              <w:jc w:val="center"/>
              <w:rPr>
                <w:b/>
              </w:rPr>
            </w:pPr>
          </w:p>
        </w:tc>
        <w:tc>
          <w:tcPr>
            <w:tcW w:w="3828" w:type="dxa"/>
          </w:tcPr>
          <w:p w14:paraId="641ECE71" w14:textId="77777777" w:rsidR="006573F6" w:rsidRPr="00313710" w:rsidRDefault="006573F6" w:rsidP="002A5AA0">
            <w:pPr>
              <w:spacing w:line="480" w:lineRule="auto"/>
              <w:jc w:val="center"/>
              <w:rPr>
                <w:b/>
              </w:rPr>
            </w:pPr>
          </w:p>
        </w:tc>
        <w:tc>
          <w:tcPr>
            <w:tcW w:w="1530" w:type="dxa"/>
          </w:tcPr>
          <w:p w14:paraId="0CE2A3C3" w14:textId="77777777" w:rsidR="006573F6" w:rsidRPr="00313710" w:rsidRDefault="006573F6" w:rsidP="002A5AA0">
            <w:pPr>
              <w:spacing w:line="480" w:lineRule="auto"/>
              <w:jc w:val="center"/>
              <w:rPr>
                <w:b/>
              </w:rPr>
            </w:pPr>
          </w:p>
        </w:tc>
      </w:tr>
      <w:tr w:rsidR="006573F6" w:rsidRPr="00313710" w14:paraId="69CC28D9" w14:textId="77777777" w:rsidTr="002A5AA0">
        <w:tc>
          <w:tcPr>
            <w:tcW w:w="681" w:type="dxa"/>
          </w:tcPr>
          <w:p w14:paraId="430E84C8" w14:textId="77777777" w:rsidR="006573F6" w:rsidRPr="00313710" w:rsidRDefault="006573F6" w:rsidP="002A5AA0">
            <w:pPr>
              <w:spacing w:line="480" w:lineRule="auto"/>
              <w:jc w:val="center"/>
              <w:rPr>
                <w:b/>
              </w:rPr>
            </w:pPr>
            <w:r w:rsidRPr="00313710">
              <w:rPr>
                <w:b/>
              </w:rPr>
              <w:t>10</w:t>
            </w:r>
          </w:p>
        </w:tc>
        <w:tc>
          <w:tcPr>
            <w:tcW w:w="2433" w:type="dxa"/>
          </w:tcPr>
          <w:p w14:paraId="1F08D363" w14:textId="77777777" w:rsidR="006573F6" w:rsidRPr="00313710" w:rsidRDefault="006573F6" w:rsidP="002A5AA0">
            <w:pPr>
              <w:spacing w:line="480" w:lineRule="auto"/>
              <w:jc w:val="center"/>
              <w:rPr>
                <w:b/>
              </w:rPr>
            </w:pPr>
          </w:p>
        </w:tc>
        <w:tc>
          <w:tcPr>
            <w:tcW w:w="1984" w:type="dxa"/>
          </w:tcPr>
          <w:p w14:paraId="30A23191" w14:textId="77777777" w:rsidR="006573F6" w:rsidRPr="00313710" w:rsidRDefault="006573F6" w:rsidP="002A5AA0">
            <w:pPr>
              <w:spacing w:line="480" w:lineRule="auto"/>
              <w:jc w:val="center"/>
              <w:rPr>
                <w:b/>
              </w:rPr>
            </w:pPr>
          </w:p>
        </w:tc>
        <w:tc>
          <w:tcPr>
            <w:tcW w:w="3828" w:type="dxa"/>
          </w:tcPr>
          <w:p w14:paraId="59544EC8" w14:textId="77777777" w:rsidR="006573F6" w:rsidRPr="00313710" w:rsidRDefault="006573F6" w:rsidP="002A5AA0">
            <w:pPr>
              <w:spacing w:line="480" w:lineRule="auto"/>
              <w:jc w:val="center"/>
              <w:rPr>
                <w:b/>
              </w:rPr>
            </w:pPr>
          </w:p>
        </w:tc>
        <w:tc>
          <w:tcPr>
            <w:tcW w:w="1530" w:type="dxa"/>
          </w:tcPr>
          <w:p w14:paraId="125F36F6" w14:textId="77777777" w:rsidR="006573F6" w:rsidRPr="00313710" w:rsidRDefault="006573F6" w:rsidP="002A5AA0">
            <w:pPr>
              <w:spacing w:line="480" w:lineRule="auto"/>
              <w:jc w:val="center"/>
              <w:rPr>
                <w:b/>
              </w:rPr>
            </w:pPr>
          </w:p>
        </w:tc>
      </w:tr>
      <w:tr w:rsidR="006573F6" w:rsidRPr="00313710" w14:paraId="668F0EFB" w14:textId="77777777" w:rsidTr="002A5AA0">
        <w:tc>
          <w:tcPr>
            <w:tcW w:w="681" w:type="dxa"/>
          </w:tcPr>
          <w:p w14:paraId="5847F07C" w14:textId="77777777" w:rsidR="006573F6" w:rsidRPr="00313710" w:rsidRDefault="006573F6" w:rsidP="002A5AA0">
            <w:pPr>
              <w:spacing w:line="480" w:lineRule="auto"/>
              <w:jc w:val="center"/>
              <w:rPr>
                <w:b/>
              </w:rPr>
            </w:pPr>
            <w:r w:rsidRPr="00313710">
              <w:rPr>
                <w:b/>
              </w:rPr>
              <w:t>11</w:t>
            </w:r>
          </w:p>
        </w:tc>
        <w:tc>
          <w:tcPr>
            <w:tcW w:w="2433" w:type="dxa"/>
          </w:tcPr>
          <w:p w14:paraId="5AE1B537" w14:textId="77777777" w:rsidR="006573F6" w:rsidRPr="00313710" w:rsidRDefault="006573F6" w:rsidP="002A5AA0">
            <w:pPr>
              <w:spacing w:line="480" w:lineRule="auto"/>
              <w:jc w:val="center"/>
              <w:rPr>
                <w:b/>
              </w:rPr>
            </w:pPr>
          </w:p>
        </w:tc>
        <w:tc>
          <w:tcPr>
            <w:tcW w:w="1984" w:type="dxa"/>
          </w:tcPr>
          <w:p w14:paraId="1FF1D59A" w14:textId="77777777" w:rsidR="006573F6" w:rsidRPr="00313710" w:rsidRDefault="006573F6" w:rsidP="002A5AA0">
            <w:pPr>
              <w:spacing w:line="480" w:lineRule="auto"/>
              <w:jc w:val="center"/>
              <w:rPr>
                <w:b/>
              </w:rPr>
            </w:pPr>
          </w:p>
        </w:tc>
        <w:tc>
          <w:tcPr>
            <w:tcW w:w="3828" w:type="dxa"/>
          </w:tcPr>
          <w:p w14:paraId="1B9C2786" w14:textId="77777777" w:rsidR="006573F6" w:rsidRPr="00313710" w:rsidRDefault="006573F6" w:rsidP="002A5AA0">
            <w:pPr>
              <w:spacing w:line="480" w:lineRule="auto"/>
              <w:jc w:val="center"/>
              <w:rPr>
                <w:b/>
              </w:rPr>
            </w:pPr>
          </w:p>
        </w:tc>
        <w:tc>
          <w:tcPr>
            <w:tcW w:w="1530" w:type="dxa"/>
          </w:tcPr>
          <w:p w14:paraId="50A50A75" w14:textId="77777777" w:rsidR="006573F6" w:rsidRPr="00313710" w:rsidRDefault="006573F6" w:rsidP="002A5AA0">
            <w:pPr>
              <w:spacing w:line="480" w:lineRule="auto"/>
              <w:jc w:val="center"/>
              <w:rPr>
                <w:b/>
              </w:rPr>
            </w:pPr>
          </w:p>
        </w:tc>
      </w:tr>
      <w:tr w:rsidR="006573F6" w:rsidRPr="00313710" w14:paraId="0A8C8AC7" w14:textId="77777777" w:rsidTr="002A5AA0">
        <w:tc>
          <w:tcPr>
            <w:tcW w:w="681" w:type="dxa"/>
          </w:tcPr>
          <w:p w14:paraId="193EA347" w14:textId="77777777" w:rsidR="006573F6" w:rsidRPr="00313710" w:rsidRDefault="006573F6" w:rsidP="002A5AA0">
            <w:pPr>
              <w:spacing w:line="480" w:lineRule="auto"/>
              <w:jc w:val="center"/>
              <w:rPr>
                <w:b/>
              </w:rPr>
            </w:pPr>
            <w:r w:rsidRPr="00313710">
              <w:rPr>
                <w:b/>
              </w:rPr>
              <w:t>12</w:t>
            </w:r>
          </w:p>
        </w:tc>
        <w:tc>
          <w:tcPr>
            <w:tcW w:w="2433" w:type="dxa"/>
          </w:tcPr>
          <w:p w14:paraId="130AAA72" w14:textId="77777777" w:rsidR="006573F6" w:rsidRPr="00313710" w:rsidRDefault="006573F6" w:rsidP="002A5AA0">
            <w:pPr>
              <w:spacing w:line="480" w:lineRule="auto"/>
              <w:jc w:val="center"/>
              <w:rPr>
                <w:b/>
              </w:rPr>
            </w:pPr>
          </w:p>
        </w:tc>
        <w:tc>
          <w:tcPr>
            <w:tcW w:w="1984" w:type="dxa"/>
          </w:tcPr>
          <w:p w14:paraId="1B398E1D" w14:textId="77777777" w:rsidR="006573F6" w:rsidRPr="00313710" w:rsidRDefault="006573F6" w:rsidP="002A5AA0">
            <w:pPr>
              <w:spacing w:line="480" w:lineRule="auto"/>
              <w:jc w:val="center"/>
              <w:rPr>
                <w:b/>
              </w:rPr>
            </w:pPr>
          </w:p>
        </w:tc>
        <w:tc>
          <w:tcPr>
            <w:tcW w:w="3828" w:type="dxa"/>
          </w:tcPr>
          <w:p w14:paraId="0A0DB8F1" w14:textId="77777777" w:rsidR="006573F6" w:rsidRPr="00313710" w:rsidRDefault="006573F6" w:rsidP="002A5AA0">
            <w:pPr>
              <w:spacing w:line="480" w:lineRule="auto"/>
              <w:jc w:val="center"/>
              <w:rPr>
                <w:b/>
              </w:rPr>
            </w:pPr>
          </w:p>
        </w:tc>
        <w:tc>
          <w:tcPr>
            <w:tcW w:w="1530" w:type="dxa"/>
          </w:tcPr>
          <w:p w14:paraId="4B7CB730" w14:textId="77777777" w:rsidR="006573F6" w:rsidRPr="00313710" w:rsidRDefault="006573F6" w:rsidP="002A5AA0">
            <w:pPr>
              <w:spacing w:line="480" w:lineRule="auto"/>
              <w:jc w:val="center"/>
              <w:rPr>
                <w:b/>
              </w:rPr>
            </w:pPr>
          </w:p>
        </w:tc>
      </w:tr>
      <w:tr w:rsidR="006573F6" w:rsidRPr="00313710" w14:paraId="1065DE73" w14:textId="77777777" w:rsidTr="002A5AA0">
        <w:tc>
          <w:tcPr>
            <w:tcW w:w="681" w:type="dxa"/>
          </w:tcPr>
          <w:p w14:paraId="4CB49BB4" w14:textId="77777777" w:rsidR="006573F6" w:rsidRPr="00313710" w:rsidRDefault="006573F6" w:rsidP="002A5AA0">
            <w:pPr>
              <w:spacing w:line="480" w:lineRule="auto"/>
              <w:jc w:val="center"/>
              <w:rPr>
                <w:b/>
              </w:rPr>
            </w:pPr>
            <w:r w:rsidRPr="00313710">
              <w:rPr>
                <w:b/>
              </w:rPr>
              <w:t>13</w:t>
            </w:r>
          </w:p>
        </w:tc>
        <w:tc>
          <w:tcPr>
            <w:tcW w:w="2433" w:type="dxa"/>
          </w:tcPr>
          <w:p w14:paraId="47C6370F" w14:textId="77777777" w:rsidR="006573F6" w:rsidRPr="00313710" w:rsidRDefault="006573F6" w:rsidP="002A5AA0">
            <w:pPr>
              <w:spacing w:line="480" w:lineRule="auto"/>
              <w:jc w:val="center"/>
              <w:rPr>
                <w:b/>
              </w:rPr>
            </w:pPr>
          </w:p>
        </w:tc>
        <w:tc>
          <w:tcPr>
            <w:tcW w:w="1984" w:type="dxa"/>
          </w:tcPr>
          <w:p w14:paraId="1A3B1F28" w14:textId="77777777" w:rsidR="006573F6" w:rsidRPr="00313710" w:rsidRDefault="006573F6" w:rsidP="002A5AA0">
            <w:pPr>
              <w:spacing w:line="480" w:lineRule="auto"/>
              <w:jc w:val="center"/>
              <w:rPr>
                <w:b/>
              </w:rPr>
            </w:pPr>
          </w:p>
        </w:tc>
        <w:tc>
          <w:tcPr>
            <w:tcW w:w="3828" w:type="dxa"/>
          </w:tcPr>
          <w:p w14:paraId="6926F9CD" w14:textId="77777777" w:rsidR="006573F6" w:rsidRPr="00313710" w:rsidRDefault="006573F6" w:rsidP="002A5AA0">
            <w:pPr>
              <w:spacing w:line="480" w:lineRule="auto"/>
              <w:jc w:val="center"/>
              <w:rPr>
                <w:b/>
              </w:rPr>
            </w:pPr>
          </w:p>
        </w:tc>
        <w:tc>
          <w:tcPr>
            <w:tcW w:w="1530" w:type="dxa"/>
          </w:tcPr>
          <w:p w14:paraId="174A1720" w14:textId="77777777" w:rsidR="006573F6" w:rsidRPr="00313710" w:rsidRDefault="006573F6" w:rsidP="002A5AA0">
            <w:pPr>
              <w:spacing w:line="480" w:lineRule="auto"/>
              <w:jc w:val="center"/>
              <w:rPr>
                <w:b/>
              </w:rPr>
            </w:pPr>
          </w:p>
        </w:tc>
      </w:tr>
      <w:tr w:rsidR="006573F6" w:rsidRPr="00313710" w14:paraId="7132DD9C" w14:textId="77777777" w:rsidTr="002A5AA0">
        <w:tc>
          <w:tcPr>
            <w:tcW w:w="681" w:type="dxa"/>
          </w:tcPr>
          <w:p w14:paraId="2F13A19E" w14:textId="77777777" w:rsidR="006573F6" w:rsidRPr="00313710" w:rsidRDefault="006573F6" w:rsidP="002A5AA0">
            <w:pPr>
              <w:spacing w:line="480" w:lineRule="auto"/>
              <w:jc w:val="center"/>
              <w:rPr>
                <w:b/>
              </w:rPr>
            </w:pPr>
            <w:r w:rsidRPr="00313710">
              <w:rPr>
                <w:b/>
              </w:rPr>
              <w:t>14</w:t>
            </w:r>
          </w:p>
        </w:tc>
        <w:tc>
          <w:tcPr>
            <w:tcW w:w="2433" w:type="dxa"/>
          </w:tcPr>
          <w:p w14:paraId="1F2BFAF3" w14:textId="77777777" w:rsidR="006573F6" w:rsidRPr="00313710" w:rsidRDefault="006573F6" w:rsidP="002A5AA0">
            <w:pPr>
              <w:spacing w:line="480" w:lineRule="auto"/>
              <w:jc w:val="center"/>
              <w:rPr>
                <w:b/>
              </w:rPr>
            </w:pPr>
          </w:p>
        </w:tc>
        <w:tc>
          <w:tcPr>
            <w:tcW w:w="1984" w:type="dxa"/>
          </w:tcPr>
          <w:p w14:paraId="7546F9DE" w14:textId="77777777" w:rsidR="006573F6" w:rsidRPr="00313710" w:rsidRDefault="006573F6" w:rsidP="002A5AA0">
            <w:pPr>
              <w:spacing w:line="480" w:lineRule="auto"/>
              <w:jc w:val="center"/>
              <w:rPr>
                <w:b/>
              </w:rPr>
            </w:pPr>
          </w:p>
        </w:tc>
        <w:tc>
          <w:tcPr>
            <w:tcW w:w="3828" w:type="dxa"/>
          </w:tcPr>
          <w:p w14:paraId="3EEC9F54" w14:textId="77777777" w:rsidR="006573F6" w:rsidRPr="00313710" w:rsidRDefault="006573F6" w:rsidP="002A5AA0">
            <w:pPr>
              <w:spacing w:line="480" w:lineRule="auto"/>
              <w:jc w:val="center"/>
              <w:rPr>
                <w:b/>
              </w:rPr>
            </w:pPr>
          </w:p>
        </w:tc>
        <w:tc>
          <w:tcPr>
            <w:tcW w:w="1530" w:type="dxa"/>
          </w:tcPr>
          <w:p w14:paraId="16A91FBA" w14:textId="77777777" w:rsidR="006573F6" w:rsidRPr="00313710" w:rsidRDefault="006573F6" w:rsidP="002A5AA0">
            <w:pPr>
              <w:spacing w:line="480" w:lineRule="auto"/>
              <w:jc w:val="center"/>
              <w:rPr>
                <w:b/>
              </w:rPr>
            </w:pPr>
          </w:p>
        </w:tc>
      </w:tr>
      <w:tr w:rsidR="006573F6" w:rsidRPr="00313710" w14:paraId="61C05663" w14:textId="77777777" w:rsidTr="002A5AA0">
        <w:tc>
          <w:tcPr>
            <w:tcW w:w="681" w:type="dxa"/>
          </w:tcPr>
          <w:p w14:paraId="476CAEF8" w14:textId="77777777" w:rsidR="006573F6" w:rsidRPr="00313710" w:rsidRDefault="006573F6" w:rsidP="002A5AA0">
            <w:pPr>
              <w:spacing w:line="480" w:lineRule="auto"/>
              <w:jc w:val="center"/>
              <w:rPr>
                <w:b/>
              </w:rPr>
            </w:pPr>
            <w:r>
              <w:rPr>
                <w:b/>
              </w:rPr>
              <w:t>15</w:t>
            </w:r>
          </w:p>
        </w:tc>
        <w:tc>
          <w:tcPr>
            <w:tcW w:w="2433" w:type="dxa"/>
          </w:tcPr>
          <w:p w14:paraId="2F813F54" w14:textId="77777777" w:rsidR="006573F6" w:rsidRPr="00313710" w:rsidRDefault="006573F6" w:rsidP="002A5AA0">
            <w:pPr>
              <w:spacing w:line="480" w:lineRule="auto"/>
              <w:jc w:val="center"/>
              <w:rPr>
                <w:b/>
              </w:rPr>
            </w:pPr>
          </w:p>
        </w:tc>
        <w:tc>
          <w:tcPr>
            <w:tcW w:w="1984" w:type="dxa"/>
          </w:tcPr>
          <w:p w14:paraId="0C674E30" w14:textId="77777777" w:rsidR="006573F6" w:rsidRPr="00313710" w:rsidRDefault="006573F6" w:rsidP="002A5AA0">
            <w:pPr>
              <w:spacing w:line="480" w:lineRule="auto"/>
              <w:jc w:val="center"/>
              <w:rPr>
                <w:b/>
              </w:rPr>
            </w:pPr>
          </w:p>
        </w:tc>
        <w:tc>
          <w:tcPr>
            <w:tcW w:w="3828" w:type="dxa"/>
          </w:tcPr>
          <w:p w14:paraId="722F44A7" w14:textId="77777777" w:rsidR="006573F6" w:rsidRPr="00313710" w:rsidRDefault="006573F6" w:rsidP="002A5AA0">
            <w:pPr>
              <w:spacing w:line="480" w:lineRule="auto"/>
              <w:jc w:val="center"/>
              <w:rPr>
                <w:b/>
              </w:rPr>
            </w:pPr>
          </w:p>
        </w:tc>
        <w:tc>
          <w:tcPr>
            <w:tcW w:w="1530" w:type="dxa"/>
          </w:tcPr>
          <w:p w14:paraId="1A69A3DF" w14:textId="77777777" w:rsidR="006573F6" w:rsidRPr="00313710" w:rsidRDefault="006573F6" w:rsidP="002A5AA0">
            <w:pPr>
              <w:spacing w:line="480" w:lineRule="auto"/>
              <w:jc w:val="center"/>
              <w:rPr>
                <w:b/>
              </w:rPr>
            </w:pPr>
          </w:p>
        </w:tc>
      </w:tr>
    </w:tbl>
    <w:p w14:paraId="2ABEEC88" w14:textId="77777777" w:rsidR="006573F6" w:rsidRPr="00947A32" w:rsidRDefault="006573F6" w:rsidP="006573F6">
      <w:pPr>
        <w:spacing w:line="240" w:lineRule="auto"/>
        <w:jc w:val="both"/>
        <w:rPr>
          <w:rFonts w:ascii="Times New Roman" w:eastAsia="Times New Roman" w:hAnsi="Times New Roman" w:cs="Times New Roman"/>
          <w:lang w:val="tr-TR"/>
        </w:rPr>
      </w:pPr>
    </w:p>
    <w:sectPr w:rsidR="006573F6" w:rsidRPr="00947A32" w:rsidSect="00704C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46B22" w14:textId="77777777" w:rsidR="001854EE" w:rsidRDefault="001854EE" w:rsidP="0079179A">
      <w:pPr>
        <w:spacing w:after="0" w:line="240" w:lineRule="auto"/>
      </w:pPr>
      <w:r>
        <w:separator/>
      </w:r>
    </w:p>
  </w:endnote>
  <w:endnote w:type="continuationSeparator" w:id="0">
    <w:p w14:paraId="38846978" w14:textId="77777777" w:rsidR="001854EE" w:rsidRDefault="001854EE" w:rsidP="0079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BF6CE" w14:textId="77777777" w:rsidR="001854EE" w:rsidRDefault="001854EE" w:rsidP="0079179A">
      <w:pPr>
        <w:spacing w:after="0" w:line="240" w:lineRule="auto"/>
      </w:pPr>
      <w:r>
        <w:separator/>
      </w:r>
    </w:p>
  </w:footnote>
  <w:footnote w:type="continuationSeparator" w:id="0">
    <w:p w14:paraId="3A73D883" w14:textId="77777777" w:rsidR="001854EE" w:rsidRDefault="001854EE" w:rsidP="00791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98"/>
    <w:rsid w:val="0002159B"/>
    <w:rsid w:val="00034CBA"/>
    <w:rsid w:val="00036FED"/>
    <w:rsid w:val="00081D92"/>
    <w:rsid w:val="0009373D"/>
    <w:rsid w:val="000B7758"/>
    <w:rsid w:val="001854EE"/>
    <w:rsid w:val="001F0B60"/>
    <w:rsid w:val="002169F2"/>
    <w:rsid w:val="00240538"/>
    <w:rsid w:val="002D1157"/>
    <w:rsid w:val="00335AC5"/>
    <w:rsid w:val="003A2AF4"/>
    <w:rsid w:val="003C09C6"/>
    <w:rsid w:val="003C1F30"/>
    <w:rsid w:val="003F5E65"/>
    <w:rsid w:val="0046190C"/>
    <w:rsid w:val="004746BF"/>
    <w:rsid w:val="00476C02"/>
    <w:rsid w:val="00487749"/>
    <w:rsid w:val="0049114E"/>
    <w:rsid w:val="004D2C46"/>
    <w:rsid w:val="004F4421"/>
    <w:rsid w:val="004F7648"/>
    <w:rsid w:val="00550188"/>
    <w:rsid w:val="005737AE"/>
    <w:rsid w:val="005E4CDC"/>
    <w:rsid w:val="00601F99"/>
    <w:rsid w:val="00613CFF"/>
    <w:rsid w:val="00651912"/>
    <w:rsid w:val="006573F6"/>
    <w:rsid w:val="00672F59"/>
    <w:rsid w:val="00684595"/>
    <w:rsid w:val="006D536D"/>
    <w:rsid w:val="006D5AB9"/>
    <w:rsid w:val="00704C54"/>
    <w:rsid w:val="00723434"/>
    <w:rsid w:val="0079179A"/>
    <w:rsid w:val="007951AC"/>
    <w:rsid w:val="007B0998"/>
    <w:rsid w:val="007C6C65"/>
    <w:rsid w:val="00852883"/>
    <w:rsid w:val="00865A65"/>
    <w:rsid w:val="00867580"/>
    <w:rsid w:val="008B31A6"/>
    <w:rsid w:val="009056BA"/>
    <w:rsid w:val="00947A32"/>
    <w:rsid w:val="009A7F1D"/>
    <w:rsid w:val="009C69C1"/>
    <w:rsid w:val="009D733C"/>
    <w:rsid w:val="00A0310D"/>
    <w:rsid w:val="00A11502"/>
    <w:rsid w:val="00A412AC"/>
    <w:rsid w:val="00A5159C"/>
    <w:rsid w:val="00B459FB"/>
    <w:rsid w:val="00B568A9"/>
    <w:rsid w:val="00BA193C"/>
    <w:rsid w:val="00BD0773"/>
    <w:rsid w:val="00C21367"/>
    <w:rsid w:val="00C764A1"/>
    <w:rsid w:val="00CF06A5"/>
    <w:rsid w:val="00DA0A8C"/>
    <w:rsid w:val="00E019F4"/>
    <w:rsid w:val="00EA427D"/>
    <w:rsid w:val="00EA6176"/>
    <w:rsid w:val="00F76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A31B"/>
  <w15:docId w15:val="{64A55508-B8AF-4DE5-8307-164D4848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F4"/>
    <w:rPr>
      <w:rFonts w:eastAsiaTheme="minorEastAsia"/>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2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D07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0773"/>
    <w:rPr>
      <w:rFonts w:ascii="Tahoma" w:eastAsiaTheme="minorEastAsia" w:hAnsi="Tahoma" w:cs="Tahoma"/>
      <w:sz w:val="16"/>
      <w:szCs w:val="16"/>
      <w:lang w:val="en-US" w:eastAsia="zh-CN"/>
    </w:rPr>
  </w:style>
  <w:style w:type="paragraph" w:styleId="stBilgi">
    <w:name w:val="header"/>
    <w:basedOn w:val="Normal"/>
    <w:link w:val="stBilgiChar"/>
    <w:uiPriority w:val="99"/>
    <w:unhideWhenUsed/>
    <w:rsid w:val="007917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179A"/>
    <w:rPr>
      <w:rFonts w:eastAsiaTheme="minorEastAsia"/>
      <w:lang w:val="en-US" w:eastAsia="zh-CN"/>
    </w:rPr>
  </w:style>
  <w:style w:type="paragraph" w:styleId="AltBilgi">
    <w:name w:val="footer"/>
    <w:basedOn w:val="Normal"/>
    <w:link w:val="AltBilgiChar"/>
    <w:uiPriority w:val="99"/>
    <w:unhideWhenUsed/>
    <w:rsid w:val="007917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179A"/>
    <w:rPr>
      <w:rFonts w:eastAsiaTheme="minorEastAsia"/>
      <w:lang w:val="en-US" w:eastAsia="zh-CN"/>
    </w:rPr>
  </w:style>
  <w:style w:type="paragraph" w:styleId="AralkYok">
    <w:name w:val="No Spacing"/>
    <w:uiPriority w:val="1"/>
    <w:qFormat/>
    <w:rsid w:val="000B77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CEB2-7C92-4CE6-AEBE-F7B3A2DB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1369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iletişim</dc:creator>
  <cp:lastModifiedBy>Windows Kullanıcısı</cp:lastModifiedBy>
  <cp:revision>16</cp:revision>
  <cp:lastPrinted>2022-04-19T15:06:00Z</cp:lastPrinted>
  <dcterms:created xsi:type="dcterms:W3CDTF">2022-04-19T15:00:00Z</dcterms:created>
  <dcterms:modified xsi:type="dcterms:W3CDTF">2022-04-19T15:08:00Z</dcterms:modified>
</cp:coreProperties>
</file>