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4027546" w:displacedByCustomXml="next"/>
    <w:sdt>
      <w:sdtPr>
        <w:rPr>
          <w:rFonts w:eastAsiaTheme="minorHAnsi"/>
          <w:lang w:eastAsia="en-US"/>
        </w:rPr>
        <w:id w:val="466934347"/>
        <w:docPartObj>
          <w:docPartGallery w:val="Cover Pages"/>
          <w:docPartUnique/>
        </w:docPartObj>
      </w:sdtPr>
      <w:sdtEndPr>
        <w:rPr>
          <w:rFonts w:eastAsia="+mn-ea" w:cstheme="majorBidi"/>
          <w:b/>
          <w:color w:val="002060"/>
          <w:sz w:val="24"/>
          <w:szCs w:val="24"/>
        </w:rPr>
      </w:sdtEndPr>
      <w:sdtContent>
        <w:p w14:paraId="08B87935" w14:textId="0B280908" w:rsidR="00CA6D58" w:rsidRDefault="00CA6D58" w:rsidP="008D3338">
          <w:pPr>
            <w:pStyle w:val="AralkYok"/>
          </w:pPr>
          <w:r>
            <w:rPr>
              <w:noProof/>
            </w:rPr>
            <mc:AlternateContent>
              <mc:Choice Requires="wps">
                <w:drawing>
                  <wp:anchor distT="0" distB="0" distL="114300" distR="114300" simplePos="0" relativeHeight="251663360" behindDoc="0" locked="0" layoutInCell="1" allowOverlap="1" wp14:anchorId="3AF39EAD" wp14:editId="00EC9BDF">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44" name="Metin Kutusu 44"/>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4AF52" w14:textId="7B289184" w:rsidR="00DA1D84" w:rsidRDefault="00DA1D84" w:rsidP="00E1700B">
                                <w:pPr>
                                  <w:pStyle w:val="AralkYok"/>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AF39EAD" id="_x0000_t202" coordsize="21600,21600" o:spt="202" path="m,l,21600r21600,l21600,xe">
                    <v:stroke joinstyle="miter"/>
                    <v:path gradientshapeok="t" o:connecttype="rect"/>
                  </v:shapetype>
                  <v:shape id="Metin Kutusu 44" o:spid="_x0000_s1026" type="#_x0000_t202" style="position:absolute;margin-left:0;margin-top:0;width:4in;height:28.8pt;z-index:25166336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" filled="f" stroked="f" strokeweight=".5pt">
                    <v:textbox style="mso-fit-shape-to-text:t" inset="0,0,0,0">
                      <w:txbxContent>
                        <w:p w14:paraId="6EE4AF52" w14:textId="7B289184" w:rsidR="00DA1D84" w:rsidRDefault="00DA1D84" w:rsidP="00E1700B">
                          <w:pPr>
                            <w:pStyle w:val="AralkYok"/>
                            <w:rPr>
                              <w:color w:val="595959" w:themeColor="text1" w:themeTint="A6"/>
                              <w:sz w:val="20"/>
                              <w:szCs w:val="20"/>
                            </w:rPr>
                          </w:pPr>
                        </w:p>
                      </w:txbxContent>
                    </v:textbox>
                    <w10:wrap anchorx="page" anchory="page"/>
                  </v:shape>
                </w:pict>
              </mc:Fallback>
            </mc:AlternateContent>
          </w:r>
        </w:p>
        <w:p w14:paraId="280E887F" w14:textId="77777777" w:rsidR="00CA6D58" w:rsidRDefault="00CA6D58" w:rsidP="008D3338">
          <w:pPr>
            <w:rPr>
              <w:rFonts w:eastAsia="+mn-ea" w:cstheme="majorBidi"/>
              <w:b/>
              <w:color w:val="002060"/>
              <w:sz w:val="24"/>
              <w:szCs w:val="24"/>
              <w:lang w:eastAsia="tr-TR"/>
            </w:rPr>
          </w:pPr>
          <w:r>
            <w:rPr>
              <w:noProof/>
              <w:lang w:eastAsia="tr-TR"/>
            </w:rPr>
            <mc:AlternateContent>
              <mc:Choice Requires="wps">
                <w:drawing>
                  <wp:anchor distT="0" distB="0" distL="114300" distR="114300" simplePos="0" relativeHeight="251662336" behindDoc="0" locked="0" layoutInCell="1" allowOverlap="1" wp14:anchorId="3EB9A2B1" wp14:editId="2452C554">
                    <wp:simplePos x="0" y="0"/>
                    <wp:positionH relativeFrom="page">
                      <wp:posOffset>-1</wp:posOffset>
                    </wp:positionH>
                    <wp:positionV relativeFrom="page">
                      <wp:posOffset>1971675</wp:posOffset>
                    </wp:positionV>
                    <wp:extent cx="7553325" cy="8705850"/>
                    <wp:effectExtent l="0" t="0" r="9525" b="0"/>
                    <wp:wrapNone/>
                    <wp:docPr id="45" name="Metin Kutusu 45"/>
                    <wp:cNvGraphicFramePr/>
                    <a:graphic xmlns:a="http://schemas.openxmlformats.org/drawingml/2006/main">
                      <a:graphicData uri="http://schemas.microsoft.com/office/word/2010/wordprocessingShape">
                        <wps:wsp>
                          <wps:cNvSpPr txBox="1"/>
                          <wps:spPr>
                            <a:xfrm>
                              <a:off x="0" y="0"/>
                              <a:ext cx="7553325" cy="870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5FEC8" w14:textId="65895BC1" w:rsidR="00DA1D84" w:rsidRPr="00E1700B" w:rsidRDefault="00142E3C" w:rsidP="00E1700B">
                                <w:pPr>
                                  <w:pStyle w:val="AralkYok"/>
                                  <w:jc w:val="center"/>
                                  <w:rPr>
                                    <w:rFonts w:asciiTheme="majorHAnsi" w:eastAsiaTheme="majorEastAsia" w:hAnsiTheme="majorHAnsi" w:cstheme="majorBidi"/>
                                    <w:b/>
                                    <w:color w:val="002060"/>
                                    <w:sz w:val="72"/>
                                  </w:rPr>
                                </w:pPr>
                                <w:sdt>
                                  <w:sdtPr>
                                    <w:rPr>
                                      <w:rFonts w:asciiTheme="majorHAnsi" w:eastAsiaTheme="majorEastAsia" w:hAnsiTheme="majorHAnsi" w:cstheme="majorBidi"/>
                                      <w:b/>
                                      <w:color w:val="002060"/>
                                      <w:sz w:val="72"/>
                                      <w:szCs w:val="72"/>
                                      <w:u w:val="single"/>
                                    </w:rPr>
                                    <w:alias w:val="Başlık"/>
                                    <w:tag w:val=""/>
                                    <w:id w:val="-498815475"/>
                                    <w:dataBinding w:prefixMappings="xmlns:ns0='http://purl.org/dc/elements/1.1/' xmlns:ns1='http://schemas.openxmlformats.org/package/2006/metadata/core-properties' " w:xpath="/ns1:coreProperties[1]/ns0:title[1]" w:storeItemID="{6C3C8BC8-F283-45AE-878A-BAB7291924A1}"/>
                                    <w:text/>
                                  </w:sdtPr>
                                  <w:sdtEndPr/>
                                  <w:sdtContent>
                                    <w:r w:rsidR="00DA1D84" w:rsidRPr="008D3338">
                                      <w:rPr>
                                        <w:rFonts w:asciiTheme="majorHAnsi" w:eastAsiaTheme="majorEastAsia" w:hAnsiTheme="majorHAnsi" w:cstheme="majorBidi"/>
                                        <w:b/>
                                        <w:color w:val="002060"/>
                                        <w:sz w:val="72"/>
                                        <w:szCs w:val="72"/>
                                        <w:u w:val="single"/>
                                      </w:rPr>
                                      <w:t>2023 EĞİTİM BÜTÇESİ</w:t>
                                    </w:r>
                                  </w:sdtContent>
                                </w:sdt>
                              </w:p>
                              <w:p w14:paraId="718BFA26" w14:textId="77777777" w:rsidR="00DA1D84" w:rsidRDefault="00142E3C" w:rsidP="00E1700B">
                                <w:pPr>
                                  <w:spacing w:before="120"/>
                                  <w:jc w:val="center"/>
                                  <w:rPr>
                                    <w:color w:val="404040" w:themeColor="text1" w:themeTint="BF"/>
                                    <w:sz w:val="36"/>
                                    <w:szCs w:val="36"/>
                                  </w:rPr>
                                </w:pPr>
                                <w:sdt>
                                  <w:sdtPr>
                                    <w:rPr>
                                      <w:color w:val="404040" w:themeColor="text1" w:themeTint="BF"/>
                                      <w:sz w:val="36"/>
                                      <w:szCs w:val="36"/>
                                    </w:rPr>
                                    <w:alias w:val="Alt Başlık"/>
                                    <w:tag w:val=""/>
                                    <w:id w:val="-2097623103"/>
                                    <w:showingPlcHdr/>
                                    <w:dataBinding w:prefixMappings="xmlns:ns0='http://purl.org/dc/elements/1.1/' xmlns:ns1='http://schemas.openxmlformats.org/package/2006/metadata/core-properties' " w:xpath="/ns1:coreProperties[1]/ns0:subject[1]" w:storeItemID="{6C3C8BC8-F283-45AE-878A-BAB7291924A1}"/>
                                    <w:text/>
                                  </w:sdtPr>
                                  <w:sdtEndPr/>
                                  <w:sdtContent>
                                    <w:r w:rsidR="00DA1D84">
                                      <w:rPr>
                                        <w:color w:val="404040" w:themeColor="text1" w:themeTint="BF"/>
                                        <w:sz w:val="36"/>
                                        <w:szCs w:val="36"/>
                                      </w:rPr>
                                      <w:t xml:space="preserve">     </w:t>
                                    </w:r>
                                  </w:sdtContent>
                                </w:sdt>
                              </w:p>
                              <w:p w14:paraId="22086630" w14:textId="5939791E" w:rsidR="00DA1D84" w:rsidRDefault="00DA1D84" w:rsidP="00E1700B">
                                <w:pPr>
                                  <w:spacing w:before="120"/>
                                  <w:jc w:val="center"/>
                                  <w:rPr>
                                    <w:color w:val="404040" w:themeColor="text1" w:themeTint="BF"/>
                                    <w:sz w:val="36"/>
                                    <w:szCs w:val="36"/>
                                  </w:rPr>
                                </w:pPr>
                                <w:r>
                                  <w:rPr>
                                    <w:noProof/>
                                    <w:lang w:eastAsia="tr-TR"/>
                                  </w:rPr>
                                  <w:drawing>
                                    <wp:inline distT="0" distB="0" distL="0" distR="0" wp14:anchorId="0CE85BFA" wp14:editId="78DE7833">
                                      <wp:extent cx="3746500" cy="3746500"/>
                                      <wp:effectExtent l="0" t="0" r="6350" b="6350"/>
                                      <wp:docPr id="22" name="Resim 22" descr="Eğitim İ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ğitim İş"/>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6500" cy="3746500"/>
                                              </a:xfrm>
                                              <a:prstGeom prst="rect">
                                                <a:avLst/>
                                              </a:prstGeom>
                                              <a:noFill/>
                                              <a:ln>
                                                <a:noFill/>
                                              </a:ln>
                                            </pic:spPr>
                                          </pic:pic>
                                        </a:graphicData>
                                      </a:graphic>
                                    </wp:inline>
                                  </w:drawing>
                                </w:r>
                              </w:p>
                              <w:p w14:paraId="374505F2" w14:textId="77777777" w:rsidR="00DA1D84" w:rsidRDefault="00DA1D84" w:rsidP="00E1700B">
                                <w:pPr>
                                  <w:spacing w:before="120"/>
                                  <w:jc w:val="center"/>
                                  <w:rPr>
                                    <w:color w:val="404040" w:themeColor="text1" w:themeTint="BF"/>
                                    <w:sz w:val="36"/>
                                    <w:szCs w:val="36"/>
                                  </w:rPr>
                                </w:pPr>
                              </w:p>
                              <w:p w14:paraId="6E01EBD4" w14:textId="77777777" w:rsidR="00DA1D84" w:rsidRDefault="00DA1D84" w:rsidP="00E1700B">
                                <w:pPr>
                                  <w:spacing w:before="120"/>
                                  <w:jc w:val="center"/>
                                  <w:rPr>
                                    <w:color w:val="404040" w:themeColor="text1" w:themeTint="BF"/>
                                    <w:sz w:val="36"/>
                                    <w:szCs w:val="36"/>
                                  </w:rPr>
                                </w:pPr>
                              </w:p>
                              <w:p w14:paraId="5AC118D4" w14:textId="77777777" w:rsidR="00DA1D84" w:rsidRDefault="00DA1D84" w:rsidP="00E1700B">
                                <w:pPr>
                                  <w:spacing w:before="120"/>
                                  <w:jc w:val="center"/>
                                  <w:rPr>
                                    <w:color w:val="404040" w:themeColor="text1" w:themeTint="BF"/>
                                    <w:sz w:val="36"/>
                                    <w:szCs w:val="36"/>
                                  </w:rPr>
                                </w:pPr>
                              </w:p>
                              <w:p w14:paraId="3CE25DC0" w14:textId="77777777" w:rsidR="00DA1D84" w:rsidRDefault="00DA1D84" w:rsidP="00E1700B">
                                <w:pPr>
                                  <w:spacing w:before="120"/>
                                  <w:jc w:val="center"/>
                                  <w:rPr>
                                    <w:color w:val="404040" w:themeColor="text1" w:themeTint="BF"/>
                                    <w:sz w:val="36"/>
                                    <w:szCs w:val="36"/>
                                  </w:rPr>
                                </w:pPr>
                              </w:p>
                              <w:p w14:paraId="53335555" w14:textId="77777777" w:rsidR="00DA1D84" w:rsidRDefault="00DA1D84" w:rsidP="00E1700B">
                                <w:pPr>
                                  <w:spacing w:before="120"/>
                                  <w:jc w:val="center"/>
                                  <w:rPr>
                                    <w:color w:val="404040" w:themeColor="text1" w:themeTint="BF"/>
                                    <w:sz w:val="36"/>
                                    <w:szCs w:val="36"/>
                                  </w:rPr>
                                </w:pPr>
                              </w:p>
                              <w:p w14:paraId="735D7BC3" w14:textId="77777777" w:rsidR="00DA1D84" w:rsidRDefault="00DA1D84" w:rsidP="00E1700B">
                                <w:pPr>
                                  <w:spacing w:before="120"/>
                                  <w:jc w:val="center"/>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B9A2B1" id="Metin Kutusu 45" o:spid="_x0000_s1027" type="#_x0000_t202" style="position:absolute;margin-left:0;margin-top:155.25pt;width:594.75pt;height:68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" filled="f" stroked="f" strokeweight=".5pt">
                    <v:textbox inset="0,0,0,0">
                      <w:txbxContent>
                        <w:p w14:paraId="2A85FEC8" w14:textId="65895BC1" w:rsidR="00DA1D84" w:rsidRPr="00E1700B" w:rsidRDefault="00142E3C" w:rsidP="00E1700B">
                          <w:pPr>
                            <w:pStyle w:val="AralkYok"/>
                            <w:jc w:val="center"/>
                            <w:rPr>
                              <w:rFonts w:asciiTheme="majorHAnsi" w:eastAsiaTheme="majorEastAsia" w:hAnsiTheme="majorHAnsi" w:cstheme="majorBidi"/>
                              <w:b/>
                              <w:color w:val="002060"/>
                              <w:sz w:val="72"/>
                            </w:rPr>
                          </w:pPr>
                          <w:sdt>
                            <w:sdtPr>
                              <w:rPr>
                                <w:rFonts w:asciiTheme="majorHAnsi" w:eastAsiaTheme="majorEastAsia" w:hAnsiTheme="majorHAnsi" w:cstheme="majorBidi"/>
                                <w:b/>
                                <w:color w:val="002060"/>
                                <w:sz w:val="72"/>
                                <w:szCs w:val="72"/>
                                <w:u w:val="single"/>
                              </w:rPr>
                              <w:alias w:val="Başlık"/>
                              <w:tag w:val=""/>
                              <w:id w:val="-498815475"/>
                              <w:dataBinding w:prefixMappings="xmlns:ns0='http://purl.org/dc/elements/1.1/' xmlns:ns1='http://schemas.openxmlformats.org/package/2006/metadata/core-properties' " w:xpath="/ns1:coreProperties[1]/ns0:title[1]" w:storeItemID="{6C3C8BC8-F283-45AE-878A-BAB7291924A1}"/>
                              <w:text/>
                            </w:sdtPr>
                            <w:sdtEndPr/>
                            <w:sdtContent>
                              <w:r w:rsidR="00DA1D84" w:rsidRPr="008D3338">
                                <w:rPr>
                                  <w:rFonts w:asciiTheme="majorHAnsi" w:eastAsiaTheme="majorEastAsia" w:hAnsiTheme="majorHAnsi" w:cstheme="majorBidi"/>
                                  <w:b/>
                                  <w:color w:val="002060"/>
                                  <w:sz w:val="72"/>
                                  <w:szCs w:val="72"/>
                                  <w:u w:val="single"/>
                                </w:rPr>
                                <w:t>2023 EĞİTİM BÜTÇESİ</w:t>
                              </w:r>
                            </w:sdtContent>
                          </w:sdt>
                        </w:p>
                        <w:p w14:paraId="718BFA26" w14:textId="77777777" w:rsidR="00DA1D84" w:rsidRDefault="00142E3C" w:rsidP="00E1700B">
                          <w:pPr>
                            <w:spacing w:before="120"/>
                            <w:jc w:val="center"/>
                            <w:rPr>
                              <w:color w:val="404040" w:themeColor="text1" w:themeTint="BF"/>
                              <w:sz w:val="36"/>
                              <w:szCs w:val="36"/>
                            </w:rPr>
                          </w:pPr>
                          <w:sdt>
                            <w:sdtPr>
                              <w:rPr>
                                <w:color w:val="404040" w:themeColor="text1" w:themeTint="BF"/>
                                <w:sz w:val="36"/>
                                <w:szCs w:val="36"/>
                              </w:rPr>
                              <w:alias w:val="Alt Başlık"/>
                              <w:tag w:val=""/>
                              <w:id w:val="-2097623103"/>
                              <w:showingPlcHdr/>
                              <w:dataBinding w:prefixMappings="xmlns:ns0='http://purl.org/dc/elements/1.1/' xmlns:ns1='http://schemas.openxmlformats.org/package/2006/metadata/core-properties' " w:xpath="/ns1:coreProperties[1]/ns0:subject[1]" w:storeItemID="{6C3C8BC8-F283-45AE-878A-BAB7291924A1}"/>
                              <w:text/>
                            </w:sdtPr>
                            <w:sdtEndPr/>
                            <w:sdtContent>
                              <w:r w:rsidR="00DA1D84">
                                <w:rPr>
                                  <w:color w:val="404040" w:themeColor="text1" w:themeTint="BF"/>
                                  <w:sz w:val="36"/>
                                  <w:szCs w:val="36"/>
                                </w:rPr>
                                <w:t xml:space="preserve">     </w:t>
                              </w:r>
                            </w:sdtContent>
                          </w:sdt>
                        </w:p>
                        <w:p w14:paraId="22086630" w14:textId="5939791E" w:rsidR="00DA1D84" w:rsidRDefault="00DA1D84" w:rsidP="00E1700B">
                          <w:pPr>
                            <w:spacing w:before="120"/>
                            <w:jc w:val="center"/>
                            <w:rPr>
                              <w:color w:val="404040" w:themeColor="text1" w:themeTint="BF"/>
                              <w:sz w:val="36"/>
                              <w:szCs w:val="36"/>
                            </w:rPr>
                          </w:pPr>
                          <w:r>
                            <w:rPr>
                              <w:noProof/>
                              <w:lang w:eastAsia="tr-TR"/>
                            </w:rPr>
                            <w:drawing>
                              <wp:inline distT="0" distB="0" distL="0" distR="0" wp14:anchorId="0CE85BFA" wp14:editId="78DE7833">
                                <wp:extent cx="3746500" cy="3746500"/>
                                <wp:effectExtent l="0" t="0" r="6350" b="6350"/>
                                <wp:docPr id="22" name="Resim 22" descr="Eğitim İ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ğitim İş"/>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6500" cy="3746500"/>
                                        </a:xfrm>
                                        <a:prstGeom prst="rect">
                                          <a:avLst/>
                                        </a:prstGeom>
                                        <a:noFill/>
                                        <a:ln>
                                          <a:noFill/>
                                        </a:ln>
                                      </pic:spPr>
                                    </pic:pic>
                                  </a:graphicData>
                                </a:graphic>
                              </wp:inline>
                            </w:drawing>
                          </w:r>
                        </w:p>
                        <w:p w14:paraId="374505F2" w14:textId="77777777" w:rsidR="00DA1D84" w:rsidRDefault="00DA1D84" w:rsidP="00E1700B">
                          <w:pPr>
                            <w:spacing w:before="120"/>
                            <w:jc w:val="center"/>
                            <w:rPr>
                              <w:color w:val="404040" w:themeColor="text1" w:themeTint="BF"/>
                              <w:sz w:val="36"/>
                              <w:szCs w:val="36"/>
                            </w:rPr>
                          </w:pPr>
                        </w:p>
                        <w:p w14:paraId="6E01EBD4" w14:textId="77777777" w:rsidR="00DA1D84" w:rsidRDefault="00DA1D84" w:rsidP="00E1700B">
                          <w:pPr>
                            <w:spacing w:before="120"/>
                            <w:jc w:val="center"/>
                            <w:rPr>
                              <w:color w:val="404040" w:themeColor="text1" w:themeTint="BF"/>
                              <w:sz w:val="36"/>
                              <w:szCs w:val="36"/>
                            </w:rPr>
                          </w:pPr>
                        </w:p>
                        <w:p w14:paraId="5AC118D4" w14:textId="77777777" w:rsidR="00DA1D84" w:rsidRDefault="00DA1D84" w:rsidP="00E1700B">
                          <w:pPr>
                            <w:spacing w:before="120"/>
                            <w:jc w:val="center"/>
                            <w:rPr>
                              <w:color w:val="404040" w:themeColor="text1" w:themeTint="BF"/>
                              <w:sz w:val="36"/>
                              <w:szCs w:val="36"/>
                            </w:rPr>
                          </w:pPr>
                        </w:p>
                        <w:p w14:paraId="3CE25DC0" w14:textId="77777777" w:rsidR="00DA1D84" w:rsidRDefault="00DA1D84" w:rsidP="00E1700B">
                          <w:pPr>
                            <w:spacing w:before="120"/>
                            <w:jc w:val="center"/>
                            <w:rPr>
                              <w:color w:val="404040" w:themeColor="text1" w:themeTint="BF"/>
                              <w:sz w:val="36"/>
                              <w:szCs w:val="36"/>
                            </w:rPr>
                          </w:pPr>
                        </w:p>
                        <w:p w14:paraId="53335555" w14:textId="77777777" w:rsidR="00DA1D84" w:rsidRDefault="00DA1D84" w:rsidP="00E1700B">
                          <w:pPr>
                            <w:spacing w:before="120"/>
                            <w:jc w:val="center"/>
                            <w:rPr>
                              <w:color w:val="404040" w:themeColor="text1" w:themeTint="BF"/>
                              <w:sz w:val="36"/>
                              <w:szCs w:val="36"/>
                            </w:rPr>
                          </w:pPr>
                        </w:p>
                        <w:p w14:paraId="735D7BC3" w14:textId="77777777" w:rsidR="00DA1D84" w:rsidRDefault="00DA1D84" w:rsidP="00E1700B">
                          <w:pPr>
                            <w:spacing w:before="120"/>
                            <w:jc w:val="center"/>
                            <w:rPr>
                              <w:color w:val="404040" w:themeColor="text1" w:themeTint="BF"/>
                              <w:sz w:val="36"/>
                              <w:szCs w:val="36"/>
                            </w:rPr>
                          </w:pPr>
                        </w:p>
                      </w:txbxContent>
                    </v:textbox>
                    <w10:wrap anchorx="page" anchory="page"/>
                  </v:shape>
                </w:pict>
              </mc:Fallback>
            </mc:AlternateContent>
          </w:r>
          <w:r>
            <w:rPr>
              <w:rFonts w:eastAsia="+mn-ea" w:cstheme="majorBidi"/>
              <w:b/>
              <w:color w:val="002060"/>
              <w:sz w:val="24"/>
              <w:szCs w:val="24"/>
              <w:lang w:eastAsia="tr-TR"/>
            </w:rPr>
            <w:br w:type="page"/>
          </w:r>
        </w:p>
      </w:sdtContent>
    </w:sdt>
    <w:p w14:paraId="50974A5A" w14:textId="77777777" w:rsidR="00CA6D58" w:rsidRDefault="00CA6D58" w:rsidP="00CA6D58">
      <w:pPr>
        <w:keepNext/>
        <w:keepLines/>
        <w:spacing w:before="240" w:after="0" w:line="352" w:lineRule="auto"/>
        <w:ind w:left="-14" w:firstLine="710"/>
        <w:jc w:val="center"/>
        <w:outlineLvl w:val="0"/>
        <w:rPr>
          <w:rFonts w:eastAsia="+mn-ea" w:cstheme="majorBidi"/>
          <w:b/>
          <w:color w:val="002060"/>
          <w:sz w:val="24"/>
          <w:szCs w:val="24"/>
          <w:lang w:eastAsia="tr-TR"/>
        </w:rPr>
      </w:pPr>
    </w:p>
    <w:sdt>
      <w:sdtPr>
        <w:rPr>
          <w:rFonts w:asciiTheme="minorHAnsi" w:eastAsiaTheme="minorHAnsi" w:hAnsiTheme="minorHAnsi" w:cstheme="minorBidi"/>
          <w:color w:val="auto"/>
          <w:sz w:val="22"/>
          <w:szCs w:val="22"/>
          <w:lang w:eastAsia="en-US"/>
        </w:rPr>
        <w:id w:val="1849674029"/>
        <w:docPartObj>
          <w:docPartGallery w:val="Table of Contents"/>
          <w:docPartUnique/>
        </w:docPartObj>
      </w:sdtPr>
      <w:sdtEndPr>
        <w:rPr>
          <w:b/>
          <w:bCs/>
        </w:rPr>
      </w:sdtEndPr>
      <w:sdtContent>
        <w:p w14:paraId="14DE05CB" w14:textId="44EC4501" w:rsidR="001570A9" w:rsidRDefault="001570A9">
          <w:pPr>
            <w:pStyle w:val="TBal"/>
          </w:pPr>
          <w:r>
            <w:t>İçindekiler Tablosu</w:t>
          </w:r>
        </w:p>
        <w:p w14:paraId="062AF754" w14:textId="02C75254" w:rsidR="00421766" w:rsidRDefault="001570A9">
          <w:pPr>
            <w:pStyle w:val="T1"/>
            <w:tabs>
              <w:tab w:val="right" w:leader="dot" w:pos="9060"/>
            </w:tabs>
            <w:rPr>
              <w:rFonts w:cstheme="minorBidi"/>
              <w:noProof/>
            </w:rPr>
          </w:pPr>
          <w:r w:rsidRPr="00AA74D6">
            <w:rPr>
              <w:b/>
            </w:rPr>
            <w:fldChar w:fldCharType="begin"/>
          </w:r>
          <w:r w:rsidRPr="00AA74D6">
            <w:rPr>
              <w:b/>
            </w:rPr>
            <w:instrText xml:space="preserve"> TOC \o "1-3" \h \z \u </w:instrText>
          </w:r>
          <w:r w:rsidRPr="00AA74D6">
            <w:rPr>
              <w:b/>
            </w:rPr>
            <w:fldChar w:fldCharType="separate"/>
          </w:r>
          <w:hyperlink w:anchor="_Toc117423409" w:history="1">
            <w:r w:rsidR="00421766" w:rsidRPr="0029677D">
              <w:rPr>
                <w:rStyle w:val="Kpr"/>
                <w:noProof/>
              </w:rPr>
              <w:t>GİRİŞ</w:t>
            </w:r>
            <w:r w:rsidR="00421766">
              <w:rPr>
                <w:noProof/>
                <w:webHidden/>
              </w:rPr>
              <w:tab/>
            </w:r>
            <w:r w:rsidR="00421766">
              <w:rPr>
                <w:noProof/>
                <w:webHidden/>
              </w:rPr>
              <w:fldChar w:fldCharType="begin"/>
            </w:r>
            <w:r w:rsidR="00421766">
              <w:rPr>
                <w:noProof/>
                <w:webHidden/>
              </w:rPr>
              <w:instrText xml:space="preserve"> PAGEREF _Toc117423409 \h </w:instrText>
            </w:r>
            <w:r w:rsidR="00421766">
              <w:rPr>
                <w:noProof/>
                <w:webHidden/>
              </w:rPr>
            </w:r>
            <w:r w:rsidR="00421766">
              <w:rPr>
                <w:noProof/>
                <w:webHidden/>
              </w:rPr>
              <w:fldChar w:fldCharType="separate"/>
            </w:r>
            <w:r w:rsidR="00421766">
              <w:rPr>
                <w:noProof/>
                <w:webHidden/>
              </w:rPr>
              <w:t>2</w:t>
            </w:r>
            <w:r w:rsidR="00421766">
              <w:rPr>
                <w:noProof/>
                <w:webHidden/>
              </w:rPr>
              <w:fldChar w:fldCharType="end"/>
            </w:r>
          </w:hyperlink>
        </w:p>
        <w:p w14:paraId="395F1374" w14:textId="3C58EFE8" w:rsidR="00421766" w:rsidRDefault="00142E3C">
          <w:pPr>
            <w:pStyle w:val="T1"/>
            <w:tabs>
              <w:tab w:val="right" w:leader="dot" w:pos="9060"/>
            </w:tabs>
            <w:rPr>
              <w:rFonts w:cstheme="minorBidi"/>
              <w:noProof/>
            </w:rPr>
          </w:pPr>
          <w:hyperlink w:anchor="_Toc117423410" w:history="1">
            <w:r w:rsidR="00421766" w:rsidRPr="0029677D">
              <w:rPr>
                <w:rStyle w:val="Kpr"/>
                <w:b/>
                <w:noProof/>
              </w:rPr>
              <w:t>EĞİTİM BÜTÇESİ</w:t>
            </w:r>
            <w:r w:rsidR="00421766">
              <w:rPr>
                <w:noProof/>
                <w:webHidden/>
              </w:rPr>
              <w:tab/>
            </w:r>
            <w:r w:rsidR="00421766">
              <w:rPr>
                <w:noProof/>
                <w:webHidden/>
              </w:rPr>
              <w:fldChar w:fldCharType="begin"/>
            </w:r>
            <w:r w:rsidR="00421766">
              <w:rPr>
                <w:noProof/>
                <w:webHidden/>
              </w:rPr>
              <w:instrText xml:space="preserve"> PAGEREF _Toc117423410 \h </w:instrText>
            </w:r>
            <w:r w:rsidR="00421766">
              <w:rPr>
                <w:noProof/>
                <w:webHidden/>
              </w:rPr>
            </w:r>
            <w:r w:rsidR="00421766">
              <w:rPr>
                <w:noProof/>
                <w:webHidden/>
              </w:rPr>
              <w:fldChar w:fldCharType="separate"/>
            </w:r>
            <w:r w:rsidR="00421766">
              <w:rPr>
                <w:noProof/>
                <w:webHidden/>
              </w:rPr>
              <w:t>3</w:t>
            </w:r>
            <w:r w:rsidR="00421766">
              <w:rPr>
                <w:noProof/>
                <w:webHidden/>
              </w:rPr>
              <w:fldChar w:fldCharType="end"/>
            </w:r>
          </w:hyperlink>
        </w:p>
        <w:p w14:paraId="0F7A1CFD" w14:textId="0DE082BC" w:rsidR="00421766" w:rsidRDefault="00142E3C">
          <w:pPr>
            <w:pStyle w:val="T1"/>
            <w:tabs>
              <w:tab w:val="right" w:leader="dot" w:pos="9060"/>
            </w:tabs>
            <w:rPr>
              <w:rFonts w:cstheme="minorBidi"/>
              <w:noProof/>
            </w:rPr>
          </w:pPr>
          <w:hyperlink w:anchor="_Toc117423411" w:history="1">
            <w:r w:rsidR="00421766" w:rsidRPr="0029677D">
              <w:rPr>
                <w:rStyle w:val="Kpr"/>
                <w:rFonts w:eastAsia="Times New Roman"/>
                <w:b/>
                <w:noProof/>
              </w:rPr>
              <w:t>Eğitim bütçesinin dağılımı</w:t>
            </w:r>
            <w:r w:rsidR="00421766">
              <w:rPr>
                <w:noProof/>
                <w:webHidden/>
              </w:rPr>
              <w:tab/>
            </w:r>
            <w:r w:rsidR="00421766">
              <w:rPr>
                <w:noProof/>
                <w:webHidden/>
              </w:rPr>
              <w:fldChar w:fldCharType="begin"/>
            </w:r>
            <w:r w:rsidR="00421766">
              <w:rPr>
                <w:noProof/>
                <w:webHidden/>
              </w:rPr>
              <w:instrText xml:space="preserve"> PAGEREF _Toc117423411 \h </w:instrText>
            </w:r>
            <w:r w:rsidR="00421766">
              <w:rPr>
                <w:noProof/>
                <w:webHidden/>
              </w:rPr>
            </w:r>
            <w:r w:rsidR="00421766">
              <w:rPr>
                <w:noProof/>
                <w:webHidden/>
              </w:rPr>
              <w:fldChar w:fldCharType="separate"/>
            </w:r>
            <w:r w:rsidR="00421766">
              <w:rPr>
                <w:noProof/>
                <w:webHidden/>
              </w:rPr>
              <w:t>3</w:t>
            </w:r>
            <w:r w:rsidR="00421766">
              <w:rPr>
                <w:noProof/>
                <w:webHidden/>
              </w:rPr>
              <w:fldChar w:fldCharType="end"/>
            </w:r>
          </w:hyperlink>
        </w:p>
        <w:p w14:paraId="5AB6D333" w14:textId="724C71B7" w:rsidR="00421766" w:rsidRDefault="00142E3C">
          <w:pPr>
            <w:pStyle w:val="T1"/>
            <w:tabs>
              <w:tab w:val="right" w:leader="dot" w:pos="9060"/>
            </w:tabs>
            <w:rPr>
              <w:rFonts w:cstheme="minorBidi"/>
              <w:noProof/>
            </w:rPr>
          </w:pPr>
          <w:hyperlink w:anchor="_Toc117423412" w:history="1">
            <w:r w:rsidR="00421766" w:rsidRPr="0029677D">
              <w:rPr>
                <w:rStyle w:val="Kpr"/>
                <w:rFonts w:eastAsia="Times New Roman"/>
                <w:b/>
                <w:noProof/>
              </w:rPr>
              <w:t>Grafik 1. Eğitim bütçesinin GSYH ve merkezi yönetim bütçesine oranı</w:t>
            </w:r>
            <w:r w:rsidR="00421766">
              <w:rPr>
                <w:noProof/>
                <w:webHidden/>
              </w:rPr>
              <w:tab/>
            </w:r>
            <w:r w:rsidR="00421766">
              <w:rPr>
                <w:noProof/>
                <w:webHidden/>
              </w:rPr>
              <w:fldChar w:fldCharType="begin"/>
            </w:r>
            <w:r w:rsidR="00421766">
              <w:rPr>
                <w:noProof/>
                <w:webHidden/>
              </w:rPr>
              <w:instrText xml:space="preserve"> PAGEREF _Toc117423412 \h </w:instrText>
            </w:r>
            <w:r w:rsidR="00421766">
              <w:rPr>
                <w:noProof/>
                <w:webHidden/>
              </w:rPr>
            </w:r>
            <w:r w:rsidR="00421766">
              <w:rPr>
                <w:noProof/>
                <w:webHidden/>
              </w:rPr>
              <w:fldChar w:fldCharType="separate"/>
            </w:r>
            <w:r w:rsidR="00421766">
              <w:rPr>
                <w:noProof/>
                <w:webHidden/>
              </w:rPr>
              <w:t>4</w:t>
            </w:r>
            <w:r w:rsidR="00421766">
              <w:rPr>
                <w:noProof/>
                <w:webHidden/>
              </w:rPr>
              <w:fldChar w:fldCharType="end"/>
            </w:r>
          </w:hyperlink>
        </w:p>
        <w:p w14:paraId="32D13BB2" w14:textId="773E8850" w:rsidR="00421766" w:rsidRDefault="00142E3C">
          <w:pPr>
            <w:pStyle w:val="T1"/>
            <w:tabs>
              <w:tab w:val="right" w:leader="dot" w:pos="9060"/>
            </w:tabs>
            <w:rPr>
              <w:rFonts w:cstheme="minorBidi"/>
              <w:noProof/>
            </w:rPr>
          </w:pPr>
          <w:hyperlink w:anchor="_Toc117423413" w:history="1">
            <w:r w:rsidR="00421766" w:rsidRPr="0029677D">
              <w:rPr>
                <w:rStyle w:val="Kpr"/>
                <w:rFonts w:eastAsia="Times New Roman"/>
                <w:b/>
                <w:noProof/>
              </w:rPr>
              <w:t>Grafik 2.MEB bütçelerinin merkezi yönetim bütçesi içindeki payı ve GSYH’ye oranı.</w:t>
            </w:r>
            <w:r w:rsidR="00421766">
              <w:rPr>
                <w:noProof/>
                <w:webHidden/>
              </w:rPr>
              <w:tab/>
            </w:r>
            <w:r w:rsidR="00421766">
              <w:rPr>
                <w:noProof/>
                <w:webHidden/>
              </w:rPr>
              <w:fldChar w:fldCharType="begin"/>
            </w:r>
            <w:r w:rsidR="00421766">
              <w:rPr>
                <w:noProof/>
                <w:webHidden/>
              </w:rPr>
              <w:instrText xml:space="preserve"> PAGEREF _Toc117423413 \h </w:instrText>
            </w:r>
            <w:r w:rsidR="00421766">
              <w:rPr>
                <w:noProof/>
                <w:webHidden/>
              </w:rPr>
            </w:r>
            <w:r w:rsidR="00421766">
              <w:rPr>
                <w:noProof/>
                <w:webHidden/>
              </w:rPr>
              <w:fldChar w:fldCharType="separate"/>
            </w:r>
            <w:r w:rsidR="00421766">
              <w:rPr>
                <w:noProof/>
                <w:webHidden/>
              </w:rPr>
              <w:t>5</w:t>
            </w:r>
            <w:r w:rsidR="00421766">
              <w:rPr>
                <w:noProof/>
                <w:webHidden/>
              </w:rPr>
              <w:fldChar w:fldCharType="end"/>
            </w:r>
          </w:hyperlink>
        </w:p>
        <w:p w14:paraId="1FEBF249" w14:textId="66538E00" w:rsidR="00421766" w:rsidRDefault="00142E3C">
          <w:pPr>
            <w:pStyle w:val="T1"/>
            <w:tabs>
              <w:tab w:val="right" w:leader="dot" w:pos="9060"/>
            </w:tabs>
            <w:rPr>
              <w:rFonts w:cstheme="minorBidi"/>
              <w:noProof/>
            </w:rPr>
          </w:pPr>
          <w:hyperlink w:anchor="_Toc117423414" w:history="1">
            <w:r w:rsidR="00421766" w:rsidRPr="0029677D">
              <w:rPr>
                <w:rStyle w:val="Kpr"/>
                <w:b/>
                <w:noProof/>
              </w:rPr>
              <w:t>Grafik 3. MEB bütçesinin ekonomik sınıflandırılması.</w:t>
            </w:r>
            <w:r w:rsidR="00421766">
              <w:rPr>
                <w:noProof/>
                <w:webHidden/>
              </w:rPr>
              <w:tab/>
            </w:r>
            <w:r w:rsidR="00421766">
              <w:rPr>
                <w:noProof/>
                <w:webHidden/>
              </w:rPr>
              <w:fldChar w:fldCharType="begin"/>
            </w:r>
            <w:r w:rsidR="00421766">
              <w:rPr>
                <w:noProof/>
                <w:webHidden/>
              </w:rPr>
              <w:instrText xml:space="preserve"> PAGEREF _Toc117423414 \h </w:instrText>
            </w:r>
            <w:r w:rsidR="00421766">
              <w:rPr>
                <w:noProof/>
                <w:webHidden/>
              </w:rPr>
            </w:r>
            <w:r w:rsidR="00421766">
              <w:rPr>
                <w:noProof/>
                <w:webHidden/>
              </w:rPr>
              <w:fldChar w:fldCharType="separate"/>
            </w:r>
            <w:r w:rsidR="00421766">
              <w:rPr>
                <w:noProof/>
                <w:webHidden/>
              </w:rPr>
              <w:t>6</w:t>
            </w:r>
            <w:r w:rsidR="00421766">
              <w:rPr>
                <w:noProof/>
                <w:webHidden/>
              </w:rPr>
              <w:fldChar w:fldCharType="end"/>
            </w:r>
          </w:hyperlink>
        </w:p>
        <w:p w14:paraId="39BA8D19" w14:textId="5A0E2F2B" w:rsidR="00421766" w:rsidRDefault="00142E3C">
          <w:pPr>
            <w:pStyle w:val="T1"/>
            <w:tabs>
              <w:tab w:val="right" w:leader="dot" w:pos="9060"/>
            </w:tabs>
            <w:rPr>
              <w:rFonts w:cstheme="minorBidi"/>
              <w:noProof/>
            </w:rPr>
          </w:pPr>
          <w:hyperlink w:anchor="_Toc117423415" w:history="1">
            <w:r w:rsidR="00421766" w:rsidRPr="0029677D">
              <w:rPr>
                <w:rStyle w:val="Kpr"/>
                <w:rFonts w:eastAsia="Times New Roman"/>
                <w:b/>
                <w:noProof/>
              </w:rPr>
              <w:t>Grafik 4. Merkezi yönetim bütçe ödeneğinden MEB yatırımlarına ayrılan pay.</w:t>
            </w:r>
            <w:r w:rsidR="00421766">
              <w:rPr>
                <w:noProof/>
                <w:webHidden/>
              </w:rPr>
              <w:tab/>
            </w:r>
            <w:r w:rsidR="00421766">
              <w:rPr>
                <w:noProof/>
                <w:webHidden/>
              </w:rPr>
              <w:fldChar w:fldCharType="begin"/>
            </w:r>
            <w:r w:rsidR="00421766">
              <w:rPr>
                <w:noProof/>
                <w:webHidden/>
              </w:rPr>
              <w:instrText xml:space="preserve"> PAGEREF _Toc117423415 \h </w:instrText>
            </w:r>
            <w:r w:rsidR="00421766">
              <w:rPr>
                <w:noProof/>
                <w:webHidden/>
              </w:rPr>
            </w:r>
            <w:r w:rsidR="00421766">
              <w:rPr>
                <w:noProof/>
                <w:webHidden/>
              </w:rPr>
              <w:fldChar w:fldCharType="separate"/>
            </w:r>
            <w:r w:rsidR="00421766">
              <w:rPr>
                <w:noProof/>
                <w:webHidden/>
              </w:rPr>
              <w:t>0</w:t>
            </w:r>
            <w:r w:rsidR="00421766">
              <w:rPr>
                <w:noProof/>
                <w:webHidden/>
              </w:rPr>
              <w:fldChar w:fldCharType="end"/>
            </w:r>
          </w:hyperlink>
        </w:p>
        <w:p w14:paraId="44C3C2DC" w14:textId="4EAB9638" w:rsidR="00421766" w:rsidRDefault="00142E3C">
          <w:pPr>
            <w:pStyle w:val="T1"/>
            <w:tabs>
              <w:tab w:val="right" w:leader="dot" w:pos="9060"/>
            </w:tabs>
            <w:rPr>
              <w:rFonts w:cstheme="minorBidi"/>
              <w:noProof/>
            </w:rPr>
          </w:pPr>
          <w:hyperlink w:anchor="_Toc117423416" w:history="1">
            <w:r w:rsidR="00421766" w:rsidRPr="0029677D">
              <w:rPr>
                <w:rStyle w:val="Kpr"/>
                <w:b/>
                <w:noProof/>
              </w:rPr>
              <w:t>Grafik 5. MEB yatırım bütçesi.</w:t>
            </w:r>
            <w:r w:rsidR="00421766">
              <w:rPr>
                <w:noProof/>
                <w:webHidden/>
              </w:rPr>
              <w:tab/>
            </w:r>
            <w:r w:rsidR="00421766">
              <w:rPr>
                <w:noProof/>
                <w:webHidden/>
              </w:rPr>
              <w:fldChar w:fldCharType="begin"/>
            </w:r>
            <w:r w:rsidR="00421766">
              <w:rPr>
                <w:noProof/>
                <w:webHidden/>
              </w:rPr>
              <w:instrText xml:space="preserve"> PAGEREF _Toc117423416 \h </w:instrText>
            </w:r>
            <w:r w:rsidR="00421766">
              <w:rPr>
                <w:noProof/>
                <w:webHidden/>
              </w:rPr>
            </w:r>
            <w:r w:rsidR="00421766">
              <w:rPr>
                <w:noProof/>
                <w:webHidden/>
              </w:rPr>
              <w:fldChar w:fldCharType="separate"/>
            </w:r>
            <w:r w:rsidR="00421766">
              <w:rPr>
                <w:noProof/>
                <w:webHidden/>
              </w:rPr>
              <w:t>1</w:t>
            </w:r>
            <w:r w:rsidR="00421766">
              <w:rPr>
                <w:noProof/>
                <w:webHidden/>
              </w:rPr>
              <w:fldChar w:fldCharType="end"/>
            </w:r>
          </w:hyperlink>
        </w:p>
        <w:p w14:paraId="25175667" w14:textId="4C44D6AE" w:rsidR="00421766" w:rsidRDefault="00142E3C">
          <w:pPr>
            <w:pStyle w:val="T1"/>
            <w:tabs>
              <w:tab w:val="right" w:leader="dot" w:pos="9060"/>
            </w:tabs>
            <w:rPr>
              <w:rFonts w:cstheme="minorBidi"/>
              <w:noProof/>
            </w:rPr>
          </w:pPr>
          <w:hyperlink w:anchor="_Toc117423417" w:history="1">
            <w:r w:rsidR="00421766" w:rsidRPr="0029677D">
              <w:rPr>
                <w:rStyle w:val="Kpr"/>
                <w:rFonts w:ascii="Calibri" w:eastAsia="Calibri" w:hAnsi="Calibri" w:cs="Calibri"/>
                <w:b/>
                <w:noProof/>
              </w:rPr>
              <w:t>YÖK-Yükseköğretim kurumlarının bütçeleri</w:t>
            </w:r>
            <w:r w:rsidR="00421766">
              <w:rPr>
                <w:noProof/>
                <w:webHidden/>
              </w:rPr>
              <w:tab/>
            </w:r>
            <w:r w:rsidR="00421766">
              <w:rPr>
                <w:noProof/>
                <w:webHidden/>
              </w:rPr>
              <w:fldChar w:fldCharType="begin"/>
            </w:r>
            <w:r w:rsidR="00421766">
              <w:rPr>
                <w:noProof/>
                <w:webHidden/>
              </w:rPr>
              <w:instrText xml:space="preserve"> PAGEREF _Toc117423417 \h </w:instrText>
            </w:r>
            <w:r w:rsidR="00421766">
              <w:rPr>
                <w:noProof/>
                <w:webHidden/>
              </w:rPr>
            </w:r>
            <w:r w:rsidR="00421766">
              <w:rPr>
                <w:noProof/>
                <w:webHidden/>
              </w:rPr>
              <w:fldChar w:fldCharType="separate"/>
            </w:r>
            <w:r w:rsidR="00421766">
              <w:rPr>
                <w:noProof/>
                <w:webHidden/>
              </w:rPr>
              <w:t>3</w:t>
            </w:r>
            <w:r w:rsidR="00421766">
              <w:rPr>
                <w:noProof/>
                <w:webHidden/>
              </w:rPr>
              <w:fldChar w:fldCharType="end"/>
            </w:r>
          </w:hyperlink>
        </w:p>
        <w:p w14:paraId="24910069" w14:textId="0B5A7727" w:rsidR="001570A9" w:rsidRDefault="001570A9">
          <w:r w:rsidRPr="00AA74D6">
            <w:rPr>
              <w:b/>
              <w:bCs/>
            </w:rPr>
            <w:fldChar w:fldCharType="end"/>
          </w:r>
        </w:p>
      </w:sdtContent>
    </w:sdt>
    <w:p w14:paraId="6B505763" w14:textId="77777777" w:rsidR="00421766" w:rsidRDefault="00421766" w:rsidP="00421766">
      <w:pPr>
        <w:pStyle w:val="AralkYok"/>
      </w:pPr>
    </w:p>
    <w:p w14:paraId="10A6A775" w14:textId="77777777" w:rsidR="00421766" w:rsidRDefault="00421766" w:rsidP="00421766">
      <w:pPr>
        <w:pStyle w:val="AralkYok"/>
      </w:pPr>
    </w:p>
    <w:p w14:paraId="27BD953A" w14:textId="77777777" w:rsidR="00421766" w:rsidRDefault="00421766" w:rsidP="00421766">
      <w:pPr>
        <w:pStyle w:val="AralkYok"/>
      </w:pPr>
    </w:p>
    <w:p w14:paraId="78575276" w14:textId="77777777" w:rsidR="00421766" w:rsidRDefault="00421766" w:rsidP="00421766">
      <w:pPr>
        <w:pStyle w:val="AralkYok"/>
      </w:pPr>
    </w:p>
    <w:p w14:paraId="26878B02" w14:textId="77777777" w:rsidR="00421766" w:rsidRDefault="00421766" w:rsidP="00421766">
      <w:pPr>
        <w:pStyle w:val="AralkYok"/>
      </w:pPr>
    </w:p>
    <w:p w14:paraId="664E433D" w14:textId="77777777" w:rsidR="00421766" w:rsidRDefault="00421766" w:rsidP="00421766">
      <w:pPr>
        <w:pStyle w:val="AralkYok"/>
      </w:pPr>
    </w:p>
    <w:p w14:paraId="5050F405" w14:textId="77777777" w:rsidR="00421766" w:rsidRDefault="00421766" w:rsidP="00421766">
      <w:pPr>
        <w:pStyle w:val="AralkYok"/>
      </w:pPr>
    </w:p>
    <w:p w14:paraId="568B24A8" w14:textId="77777777" w:rsidR="00421766" w:rsidRDefault="00421766" w:rsidP="00421766">
      <w:pPr>
        <w:pStyle w:val="AralkYok"/>
      </w:pPr>
    </w:p>
    <w:p w14:paraId="250096D5" w14:textId="77777777" w:rsidR="00421766" w:rsidRDefault="00421766" w:rsidP="00421766">
      <w:pPr>
        <w:pStyle w:val="AralkYok"/>
      </w:pPr>
    </w:p>
    <w:p w14:paraId="04633D2F" w14:textId="77777777" w:rsidR="00421766" w:rsidRDefault="00421766" w:rsidP="00421766">
      <w:pPr>
        <w:pStyle w:val="AralkYok"/>
      </w:pPr>
    </w:p>
    <w:p w14:paraId="1ADA225A" w14:textId="77777777" w:rsidR="00421766" w:rsidRDefault="00421766" w:rsidP="00421766">
      <w:pPr>
        <w:pStyle w:val="AralkYok"/>
      </w:pPr>
    </w:p>
    <w:p w14:paraId="55B6846A" w14:textId="77777777" w:rsidR="00421766" w:rsidRDefault="00421766" w:rsidP="00421766">
      <w:pPr>
        <w:pStyle w:val="AralkYok"/>
      </w:pPr>
    </w:p>
    <w:p w14:paraId="400BD9D1" w14:textId="77777777" w:rsidR="00421766" w:rsidRDefault="00421766" w:rsidP="00421766">
      <w:pPr>
        <w:pStyle w:val="AralkYok"/>
      </w:pPr>
    </w:p>
    <w:p w14:paraId="752ED27F" w14:textId="77777777" w:rsidR="00421766" w:rsidRDefault="00421766" w:rsidP="00421766">
      <w:pPr>
        <w:pStyle w:val="AralkYok"/>
      </w:pPr>
    </w:p>
    <w:p w14:paraId="7740EAC8" w14:textId="77777777" w:rsidR="00421766" w:rsidRDefault="00421766" w:rsidP="00421766">
      <w:pPr>
        <w:pStyle w:val="AralkYok"/>
      </w:pPr>
    </w:p>
    <w:p w14:paraId="7D7F10AC" w14:textId="77777777" w:rsidR="00421766" w:rsidRDefault="00421766" w:rsidP="00421766">
      <w:pPr>
        <w:pStyle w:val="AralkYok"/>
      </w:pPr>
    </w:p>
    <w:p w14:paraId="7E51F0FE" w14:textId="77777777" w:rsidR="00421766" w:rsidRDefault="00421766" w:rsidP="00421766">
      <w:pPr>
        <w:pStyle w:val="AralkYok"/>
      </w:pPr>
    </w:p>
    <w:p w14:paraId="4D54FCDB" w14:textId="77777777" w:rsidR="00421766" w:rsidRDefault="00421766" w:rsidP="00421766">
      <w:pPr>
        <w:pStyle w:val="AralkYok"/>
      </w:pPr>
    </w:p>
    <w:p w14:paraId="3F590D82" w14:textId="77777777" w:rsidR="00421766" w:rsidRDefault="00421766" w:rsidP="00421766">
      <w:pPr>
        <w:pStyle w:val="AralkYok"/>
      </w:pPr>
    </w:p>
    <w:p w14:paraId="6E866FA6" w14:textId="77777777" w:rsidR="00421766" w:rsidRDefault="00421766" w:rsidP="00421766">
      <w:pPr>
        <w:pStyle w:val="AralkYok"/>
      </w:pPr>
    </w:p>
    <w:p w14:paraId="701E6E7C" w14:textId="77777777" w:rsidR="00421766" w:rsidRDefault="00421766" w:rsidP="00421766">
      <w:pPr>
        <w:pStyle w:val="AralkYok"/>
      </w:pPr>
    </w:p>
    <w:p w14:paraId="353E19CA" w14:textId="77777777" w:rsidR="00421766" w:rsidRDefault="00421766" w:rsidP="00421766">
      <w:pPr>
        <w:pStyle w:val="AralkYok"/>
      </w:pPr>
    </w:p>
    <w:p w14:paraId="2DF4DBDB" w14:textId="77777777" w:rsidR="00421766" w:rsidRDefault="00421766" w:rsidP="00421766">
      <w:pPr>
        <w:pStyle w:val="AralkYok"/>
      </w:pPr>
    </w:p>
    <w:p w14:paraId="7D94BFCF" w14:textId="77777777" w:rsidR="00421766" w:rsidRDefault="00421766" w:rsidP="00421766">
      <w:pPr>
        <w:pStyle w:val="AralkYok"/>
      </w:pPr>
    </w:p>
    <w:p w14:paraId="6B4F4FA6" w14:textId="77777777" w:rsidR="00421766" w:rsidRDefault="00421766" w:rsidP="00421766">
      <w:pPr>
        <w:pStyle w:val="AralkYok"/>
      </w:pPr>
    </w:p>
    <w:p w14:paraId="52738552" w14:textId="77777777" w:rsidR="00421766" w:rsidRDefault="00421766" w:rsidP="00421766">
      <w:pPr>
        <w:pStyle w:val="AralkYok"/>
      </w:pPr>
    </w:p>
    <w:p w14:paraId="70F823AA" w14:textId="77777777" w:rsidR="00421766" w:rsidRDefault="00421766" w:rsidP="00421766">
      <w:pPr>
        <w:pStyle w:val="AralkYok"/>
      </w:pPr>
    </w:p>
    <w:p w14:paraId="2DA717BE" w14:textId="77777777" w:rsidR="00421766" w:rsidRDefault="00421766" w:rsidP="00421766">
      <w:pPr>
        <w:pStyle w:val="AralkYok"/>
      </w:pPr>
    </w:p>
    <w:p w14:paraId="75B4698B" w14:textId="77777777" w:rsidR="00421766" w:rsidRDefault="00421766" w:rsidP="00421766">
      <w:pPr>
        <w:pStyle w:val="AralkYok"/>
      </w:pPr>
    </w:p>
    <w:p w14:paraId="6F7115A2" w14:textId="77777777" w:rsidR="00421766" w:rsidRDefault="00421766" w:rsidP="00421766">
      <w:pPr>
        <w:pStyle w:val="AralkYok"/>
      </w:pPr>
    </w:p>
    <w:p w14:paraId="25E464A1" w14:textId="77777777" w:rsidR="00421766" w:rsidRDefault="00421766" w:rsidP="00421766">
      <w:pPr>
        <w:pStyle w:val="AralkYok"/>
      </w:pPr>
    </w:p>
    <w:p w14:paraId="696F9BE0" w14:textId="77777777" w:rsidR="00421766" w:rsidRDefault="00421766" w:rsidP="00421766">
      <w:pPr>
        <w:pStyle w:val="AralkYok"/>
      </w:pPr>
    </w:p>
    <w:p w14:paraId="718B5E44" w14:textId="77777777" w:rsidR="00421766" w:rsidRDefault="00421766" w:rsidP="00421766">
      <w:pPr>
        <w:pStyle w:val="AralkYok"/>
      </w:pPr>
    </w:p>
    <w:p w14:paraId="0A4D2FCB" w14:textId="6AEBC256" w:rsidR="00421766" w:rsidRPr="00421766" w:rsidRDefault="00421766" w:rsidP="00421766">
      <w:pPr>
        <w:pStyle w:val="Balk1"/>
        <w:rPr>
          <w:b/>
          <w:bCs/>
          <w:color w:val="auto"/>
          <w:sz w:val="24"/>
          <w:szCs w:val="24"/>
        </w:rPr>
      </w:pPr>
      <w:bookmarkStart w:id="1" w:name="_Toc117423409"/>
      <w:r w:rsidRPr="00421766">
        <w:rPr>
          <w:b/>
          <w:bCs/>
          <w:color w:val="auto"/>
          <w:sz w:val="24"/>
          <w:szCs w:val="24"/>
        </w:rPr>
        <w:t>GİRİŞ</w:t>
      </w:r>
      <w:bookmarkEnd w:id="1"/>
    </w:p>
    <w:p w14:paraId="04BA79F8" w14:textId="77777777" w:rsidR="00421766" w:rsidRPr="00421766" w:rsidRDefault="00421766" w:rsidP="00421766">
      <w:pPr>
        <w:pStyle w:val="AralkYok"/>
        <w:jc w:val="both"/>
        <w:rPr>
          <w:sz w:val="24"/>
          <w:szCs w:val="24"/>
        </w:rPr>
      </w:pPr>
    </w:p>
    <w:p w14:paraId="00E5C623" w14:textId="77777777" w:rsidR="00421766" w:rsidRPr="00421766" w:rsidRDefault="00421766" w:rsidP="00421766">
      <w:pPr>
        <w:pStyle w:val="AralkYok"/>
        <w:jc w:val="both"/>
        <w:rPr>
          <w:sz w:val="24"/>
          <w:szCs w:val="24"/>
        </w:rPr>
      </w:pPr>
      <w:r w:rsidRPr="00421766">
        <w:rPr>
          <w:sz w:val="24"/>
          <w:szCs w:val="24"/>
        </w:rPr>
        <w:t>Aşağıda görmüş olduğunuz rapor, sendikamız tarafından en güncel rakamların ve resmi verilerin işlenmesiyle hazırlanmıştır ve Milli Eğitim Bakanlığı’nın 2023 yılı bütçesine mercek tutmaktadır.</w:t>
      </w:r>
    </w:p>
    <w:p w14:paraId="09EED22F" w14:textId="77777777" w:rsidR="00421766" w:rsidRPr="00421766" w:rsidRDefault="00421766" w:rsidP="00421766">
      <w:pPr>
        <w:pStyle w:val="AralkYok"/>
        <w:jc w:val="both"/>
        <w:rPr>
          <w:sz w:val="24"/>
          <w:szCs w:val="24"/>
        </w:rPr>
      </w:pPr>
      <w:r w:rsidRPr="00421766">
        <w:rPr>
          <w:sz w:val="24"/>
          <w:szCs w:val="24"/>
        </w:rPr>
        <w:t xml:space="preserve">Bu raporda; pandeminin açtığı yaralar kapatılmadığı, ekonomik kriz vurduğu, derslik ve öğretmen açığı derinleştiği, ikili ve taşımalı eğitim garabetleri sürdürüldüğü, yani sosyal devlet eğitimden adeta her şeyiyle çekildiği için kan ağlayan eğitim sistemine reva görülen cılız ve yetersiz bütçeyi tüm ayrıntılarıyla bulabileceksiniz. </w:t>
      </w:r>
    </w:p>
    <w:p w14:paraId="2A0201A9" w14:textId="77777777" w:rsidR="00421766" w:rsidRPr="00421766" w:rsidRDefault="00421766" w:rsidP="00421766">
      <w:pPr>
        <w:pStyle w:val="AralkYok"/>
        <w:jc w:val="both"/>
        <w:rPr>
          <w:sz w:val="24"/>
          <w:szCs w:val="24"/>
        </w:rPr>
      </w:pPr>
      <w:r w:rsidRPr="00421766">
        <w:rPr>
          <w:sz w:val="24"/>
          <w:szCs w:val="24"/>
        </w:rPr>
        <w:t>TBMM’de 24.10.2022 itibariyle başlanacak bütçe görüşmeleri öncesinde, MEB için öngörülen bütçenin, kronikleşen sorunlarla ağır hasta durumuna gelmiş milli eğitim sisteminin değil ameliyatını pansumanını bile karşılayamayacak bir vizyonla hazırlandığına rakamlarla şahitlik edeceksiniz.</w:t>
      </w:r>
    </w:p>
    <w:p w14:paraId="633836E1" w14:textId="138BCFA9" w:rsidR="008D3338" w:rsidRPr="008D3338" w:rsidRDefault="001570A9" w:rsidP="008D3338">
      <w:pPr>
        <w:rPr>
          <w:rFonts w:asciiTheme="majorHAnsi" w:eastAsiaTheme="majorEastAsia" w:hAnsiTheme="majorHAnsi" w:cstheme="majorBidi"/>
          <w:b/>
          <w:bCs/>
          <w:color w:val="FF0000"/>
          <w:sz w:val="32"/>
          <w:szCs w:val="32"/>
          <w:lang w:eastAsia="tr-TR"/>
        </w:rPr>
      </w:pPr>
      <w:r>
        <w:rPr>
          <w:b/>
          <w:bCs/>
          <w:color w:val="FF0000"/>
          <w:lang w:eastAsia="tr-TR"/>
        </w:rPr>
        <w:br w:type="page"/>
      </w:r>
      <w:bookmarkEnd w:id="0"/>
    </w:p>
    <w:p w14:paraId="374BCB1B" w14:textId="5DBA9231" w:rsidR="00553885" w:rsidRPr="004762D0" w:rsidRDefault="00553885" w:rsidP="00702E1A">
      <w:pPr>
        <w:pStyle w:val="Balk1"/>
        <w:rPr>
          <w:b/>
          <w:color w:val="auto"/>
          <w:sz w:val="24"/>
          <w:szCs w:val="24"/>
        </w:rPr>
      </w:pPr>
      <w:bookmarkStart w:id="2" w:name="_Toc24027547"/>
      <w:bookmarkStart w:id="3" w:name="_Toc117423410"/>
      <w:r w:rsidRPr="004762D0">
        <w:rPr>
          <w:b/>
          <w:color w:val="auto"/>
          <w:sz w:val="24"/>
          <w:szCs w:val="24"/>
        </w:rPr>
        <w:t>EĞİTİM BÜTÇESİ</w:t>
      </w:r>
      <w:bookmarkEnd w:id="2"/>
      <w:bookmarkEnd w:id="3"/>
      <w:r w:rsidRPr="004762D0">
        <w:rPr>
          <w:b/>
          <w:color w:val="auto"/>
          <w:sz w:val="24"/>
          <w:szCs w:val="24"/>
        </w:rPr>
        <w:tab/>
      </w:r>
    </w:p>
    <w:p w14:paraId="71BB9C8D" w14:textId="08894710" w:rsidR="00553885" w:rsidRPr="00553885" w:rsidRDefault="00553885" w:rsidP="00553885">
      <w:pPr>
        <w:spacing w:before="120" w:after="0" w:line="276" w:lineRule="auto"/>
        <w:jc w:val="both"/>
        <w:rPr>
          <w:rFonts w:eastAsia="Times New Roman" w:cs="Arial"/>
          <w:color w:val="000000"/>
          <w:sz w:val="24"/>
          <w:szCs w:val="24"/>
          <w:lang w:eastAsia="tr-TR"/>
        </w:rPr>
      </w:pPr>
      <w:r w:rsidRPr="00553885">
        <w:rPr>
          <w:rFonts w:eastAsia="Times New Roman" w:cs="Arial"/>
          <w:color w:val="000000"/>
          <w:sz w:val="24"/>
          <w:szCs w:val="24"/>
          <w:lang w:eastAsia="tr-TR"/>
        </w:rPr>
        <w:tab/>
      </w:r>
      <w:r w:rsidR="00374F2E">
        <w:rPr>
          <w:rFonts w:eastAsia="Times New Roman" w:cs="Arial"/>
          <w:color w:val="000000"/>
          <w:sz w:val="24"/>
          <w:szCs w:val="24"/>
          <w:lang w:eastAsia="tr-TR"/>
        </w:rPr>
        <w:t>2023</w:t>
      </w:r>
      <w:r w:rsidRPr="00553885">
        <w:rPr>
          <w:rFonts w:eastAsia="Times New Roman" w:cs="Arial"/>
          <w:color w:val="000000"/>
          <w:sz w:val="24"/>
          <w:szCs w:val="24"/>
          <w:lang w:eastAsia="tr-TR"/>
        </w:rPr>
        <w:t xml:space="preserve"> yılı merkezi yönetim bütçesinin </w:t>
      </w:r>
      <w:r w:rsidR="00CB1141">
        <w:rPr>
          <w:rFonts w:eastAsia="Times New Roman" w:cs="Arial"/>
          <w:color w:val="000000"/>
          <w:sz w:val="24"/>
          <w:szCs w:val="24"/>
          <w:lang w:eastAsia="tr-TR"/>
        </w:rPr>
        <w:t>4.469.570.019.000 TL</w:t>
      </w:r>
      <w:r w:rsidRPr="00553885">
        <w:rPr>
          <w:rFonts w:eastAsia="Times New Roman" w:cs="Arial"/>
          <w:color w:val="000000"/>
          <w:sz w:val="24"/>
          <w:szCs w:val="24"/>
          <w:lang w:eastAsia="tr-TR"/>
        </w:rPr>
        <w:t xml:space="preserve"> olması öngörülmüştür. Milli Eğitim Bakanlığı, Yükseköğretim Kurulu, Yükseköğretim Kalite Kurulu, </w:t>
      </w:r>
      <w:r w:rsidR="00CB1141">
        <w:rPr>
          <w:rFonts w:eastAsia="Times New Roman" w:cs="Arial"/>
          <w:color w:val="000000"/>
          <w:sz w:val="24"/>
          <w:szCs w:val="24"/>
          <w:lang w:eastAsia="tr-TR"/>
        </w:rPr>
        <w:t xml:space="preserve">Kredi ve Yurtlar Kurumu-Diğer </w:t>
      </w:r>
      <w:r w:rsidRPr="00553885">
        <w:rPr>
          <w:rFonts w:eastAsia="Times New Roman" w:cs="Arial"/>
          <w:color w:val="000000"/>
          <w:sz w:val="24"/>
          <w:szCs w:val="24"/>
          <w:lang w:eastAsia="tr-TR"/>
        </w:rPr>
        <w:t>bütçeleri toplamı</w:t>
      </w:r>
      <w:r w:rsidR="006D6513">
        <w:rPr>
          <w:rFonts w:eastAsia="Times New Roman" w:cs="Arial"/>
          <w:color w:val="000000"/>
          <w:sz w:val="24"/>
          <w:szCs w:val="24"/>
          <w:lang w:eastAsia="tr-TR"/>
        </w:rPr>
        <w:t xml:space="preserve"> 2023 yılı için 649,8</w:t>
      </w:r>
      <w:r w:rsidR="00961C41">
        <w:rPr>
          <w:rFonts w:eastAsia="Times New Roman" w:cs="Arial"/>
          <w:color w:val="000000"/>
          <w:sz w:val="24"/>
          <w:szCs w:val="24"/>
          <w:lang w:eastAsia="tr-TR"/>
        </w:rPr>
        <w:t xml:space="preserve"> milyar TL, </w:t>
      </w:r>
      <w:r w:rsidRPr="00553885">
        <w:rPr>
          <w:rFonts w:eastAsia="Times New Roman" w:cs="Arial"/>
          <w:color w:val="000000"/>
          <w:sz w:val="24"/>
          <w:szCs w:val="24"/>
          <w:lang w:eastAsia="tr-TR"/>
        </w:rPr>
        <w:t xml:space="preserve">Milli Eğitim Bakanlığı bütçesi ise </w:t>
      </w:r>
      <w:r w:rsidR="006D6513">
        <w:rPr>
          <w:rFonts w:eastAsia="Times New Roman" w:cs="Arial"/>
          <w:color w:val="000000"/>
          <w:sz w:val="24"/>
          <w:szCs w:val="24"/>
          <w:lang w:eastAsia="tr-TR"/>
        </w:rPr>
        <w:t>435 milyar 351</w:t>
      </w:r>
      <w:r w:rsidRPr="00553885">
        <w:rPr>
          <w:rFonts w:eastAsia="Times New Roman" w:cs="Arial"/>
          <w:color w:val="000000"/>
          <w:sz w:val="24"/>
          <w:szCs w:val="24"/>
          <w:lang w:eastAsia="tr-TR"/>
        </w:rPr>
        <w:t xml:space="preserve"> milyon</w:t>
      </w:r>
      <w:r w:rsidR="00961C41">
        <w:rPr>
          <w:rFonts w:eastAsia="Times New Roman" w:cs="Arial"/>
          <w:color w:val="000000"/>
          <w:sz w:val="24"/>
          <w:szCs w:val="24"/>
          <w:lang w:eastAsia="tr-TR"/>
        </w:rPr>
        <w:t xml:space="preserve"> TL olarak</w:t>
      </w:r>
      <w:r w:rsidRPr="00553885">
        <w:rPr>
          <w:rFonts w:eastAsia="Times New Roman" w:cs="Arial"/>
          <w:color w:val="000000"/>
          <w:sz w:val="24"/>
          <w:szCs w:val="24"/>
          <w:lang w:eastAsia="tr-TR"/>
        </w:rPr>
        <w:t xml:space="preserve"> öngörülmüştür.</w:t>
      </w:r>
    </w:p>
    <w:p w14:paraId="4571D3F2" w14:textId="6BEEAAB3" w:rsidR="00553885" w:rsidRPr="00553885" w:rsidRDefault="006D6513" w:rsidP="00553885">
      <w:pPr>
        <w:tabs>
          <w:tab w:val="center" w:pos="4536"/>
        </w:tabs>
        <w:spacing w:before="120" w:after="0" w:line="276" w:lineRule="auto"/>
        <w:jc w:val="both"/>
        <w:rPr>
          <w:rFonts w:eastAsia="Times New Roman" w:cs="Arial"/>
          <w:b/>
          <w:color w:val="000000"/>
          <w:sz w:val="24"/>
          <w:szCs w:val="24"/>
          <w:lang w:eastAsia="tr-TR"/>
        </w:rPr>
      </w:pPr>
      <w:r>
        <w:rPr>
          <w:rFonts w:eastAsia="Times New Roman" w:cs="Arial"/>
          <w:b/>
          <w:color w:val="000000"/>
          <w:sz w:val="24"/>
          <w:szCs w:val="24"/>
          <w:lang w:eastAsia="tr-TR"/>
        </w:rPr>
        <w:t>Tablo 1: 2023</w:t>
      </w:r>
      <w:r w:rsidR="00553885" w:rsidRPr="00553885">
        <w:rPr>
          <w:rFonts w:eastAsia="Times New Roman" w:cs="Arial"/>
          <w:b/>
          <w:color w:val="000000"/>
          <w:sz w:val="24"/>
          <w:szCs w:val="24"/>
          <w:lang w:eastAsia="tr-TR"/>
        </w:rPr>
        <w:t xml:space="preserve"> Yılı Eğitim Bütçesi</w:t>
      </w:r>
      <w:r w:rsidR="00553885" w:rsidRPr="00553885">
        <w:rPr>
          <w:rFonts w:eastAsia="Times New Roman" w:cs="Arial"/>
          <w:b/>
          <w:color w:val="000000"/>
          <w:sz w:val="24"/>
          <w:szCs w:val="24"/>
          <w:lang w:eastAsia="tr-TR"/>
        </w:rPr>
        <w:tab/>
      </w:r>
    </w:p>
    <w:tbl>
      <w:tblPr>
        <w:tblStyle w:val="KlavuzTablo1Ak-Vurgu1"/>
        <w:tblW w:w="9886" w:type="dxa"/>
        <w:tblLook w:val="04A0" w:firstRow="1" w:lastRow="0" w:firstColumn="1" w:lastColumn="0" w:noHBand="0" w:noVBand="1"/>
      </w:tblPr>
      <w:tblGrid>
        <w:gridCol w:w="4841"/>
        <w:gridCol w:w="5045"/>
      </w:tblGrid>
      <w:tr w:rsidR="00553885" w:rsidRPr="00553885" w14:paraId="401F0CAF" w14:textId="77777777" w:rsidTr="00AF38BD">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886" w:type="dxa"/>
            <w:gridSpan w:val="2"/>
          </w:tcPr>
          <w:p w14:paraId="3ADCB52B" w14:textId="77777777" w:rsidR="00553885" w:rsidRPr="00553885" w:rsidRDefault="00553885" w:rsidP="00553885">
            <w:pPr>
              <w:spacing w:before="120" w:line="276" w:lineRule="auto"/>
              <w:jc w:val="center"/>
              <w:rPr>
                <w:rFonts w:eastAsia="Times New Roman" w:cs="Arial"/>
                <w:color w:val="000000"/>
                <w:sz w:val="32"/>
                <w:szCs w:val="32"/>
                <w:lang w:eastAsia="tr-TR"/>
              </w:rPr>
            </w:pPr>
            <w:r w:rsidRPr="00553885">
              <w:rPr>
                <w:rFonts w:eastAsia="Times New Roman" w:cs="Arial"/>
                <w:color w:val="C00000"/>
                <w:sz w:val="32"/>
                <w:szCs w:val="32"/>
                <w:lang w:eastAsia="tr-TR"/>
              </w:rPr>
              <w:t>EĞİTİM BÜTÇESİ</w:t>
            </w:r>
          </w:p>
        </w:tc>
      </w:tr>
      <w:tr w:rsidR="00553885" w:rsidRPr="00553885" w14:paraId="2FAB9A84" w14:textId="77777777" w:rsidTr="0011094F">
        <w:trPr>
          <w:trHeight w:val="241"/>
        </w:trPr>
        <w:tc>
          <w:tcPr>
            <w:cnfStyle w:val="001000000000" w:firstRow="0" w:lastRow="0" w:firstColumn="1" w:lastColumn="0" w:oddVBand="0" w:evenVBand="0" w:oddHBand="0" w:evenHBand="0" w:firstRowFirstColumn="0" w:firstRowLastColumn="0" w:lastRowFirstColumn="0" w:lastRowLastColumn="0"/>
            <w:tcW w:w="4841" w:type="dxa"/>
          </w:tcPr>
          <w:p w14:paraId="02367C28" w14:textId="774EDED4" w:rsidR="00553885" w:rsidRPr="00553885" w:rsidRDefault="00553885" w:rsidP="00553885">
            <w:pPr>
              <w:spacing w:before="120" w:line="276" w:lineRule="auto"/>
              <w:jc w:val="center"/>
              <w:rPr>
                <w:rFonts w:eastAsia="Times New Roman" w:cs="Arial"/>
                <w:color w:val="FF0000"/>
                <w:sz w:val="24"/>
                <w:szCs w:val="24"/>
                <w:lang w:eastAsia="tr-TR"/>
              </w:rPr>
            </w:pPr>
            <w:r w:rsidRPr="00553885">
              <w:rPr>
                <w:rFonts w:eastAsia="Times New Roman" w:cs="Arial"/>
                <w:color w:val="FF0000"/>
                <w:sz w:val="24"/>
                <w:szCs w:val="24"/>
                <w:lang w:eastAsia="tr-TR"/>
              </w:rPr>
              <w:t>Milli Eğitim</w:t>
            </w:r>
            <w:r w:rsidR="008D3338">
              <w:rPr>
                <w:rFonts w:eastAsia="Times New Roman" w:cs="Arial"/>
                <w:color w:val="FF0000"/>
                <w:sz w:val="24"/>
                <w:szCs w:val="24"/>
                <w:lang w:eastAsia="tr-TR"/>
              </w:rPr>
              <w:t xml:space="preserve"> Bakanlığı</w:t>
            </w:r>
          </w:p>
        </w:tc>
        <w:tc>
          <w:tcPr>
            <w:tcW w:w="5045" w:type="dxa"/>
          </w:tcPr>
          <w:p w14:paraId="7F45B131" w14:textId="60F377FC" w:rsidR="00553885" w:rsidRPr="00553885" w:rsidRDefault="008D3338" w:rsidP="0055388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tr-TR"/>
              </w:rPr>
            </w:pPr>
            <w:r>
              <w:rPr>
                <w:rFonts w:eastAsia="Times New Roman" w:cs="Arial"/>
                <w:color w:val="002060"/>
                <w:sz w:val="24"/>
                <w:szCs w:val="24"/>
                <w:lang w:eastAsia="tr-TR"/>
              </w:rPr>
              <w:t>435.351.082.000</w:t>
            </w:r>
            <w:r w:rsidR="00553885" w:rsidRPr="00553885">
              <w:rPr>
                <w:rFonts w:eastAsia="Times New Roman" w:cs="Arial"/>
                <w:color w:val="002060"/>
                <w:sz w:val="24"/>
                <w:szCs w:val="24"/>
                <w:lang w:eastAsia="tr-TR"/>
              </w:rPr>
              <w:t xml:space="preserve"> TL</w:t>
            </w:r>
          </w:p>
        </w:tc>
      </w:tr>
      <w:tr w:rsidR="00553885" w:rsidRPr="00553885" w14:paraId="59F85CAA" w14:textId="77777777" w:rsidTr="0011094F">
        <w:trPr>
          <w:trHeight w:val="490"/>
        </w:trPr>
        <w:tc>
          <w:tcPr>
            <w:cnfStyle w:val="001000000000" w:firstRow="0" w:lastRow="0" w:firstColumn="1" w:lastColumn="0" w:oddVBand="0" w:evenVBand="0" w:oddHBand="0" w:evenHBand="0" w:firstRowFirstColumn="0" w:firstRowLastColumn="0" w:lastRowFirstColumn="0" w:lastRowLastColumn="0"/>
            <w:tcW w:w="4841" w:type="dxa"/>
          </w:tcPr>
          <w:p w14:paraId="65539224" w14:textId="77777777" w:rsidR="00553885" w:rsidRPr="00553885" w:rsidRDefault="00553885" w:rsidP="00553885">
            <w:pPr>
              <w:spacing w:before="120" w:line="276" w:lineRule="auto"/>
              <w:jc w:val="center"/>
              <w:rPr>
                <w:rFonts w:eastAsia="Times New Roman" w:cs="Arial"/>
                <w:color w:val="FF0000"/>
                <w:sz w:val="24"/>
                <w:szCs w:val="24"/>
                <w:lang w:eastAsia="tr-TR"/>
              </w:rPr>
            </w:pPr>
            <w:r w:rsidRPr="00553885">
              <w:rPr>
                <w:rFonts w:eastAsia="Times New Roman" w:cs="Arial"/>
                <w:color w:val="FF0000"/>
                <w:sz w:val="24"/>
                <w:szCs w:val="24"/>
                <w:lang w:eastAsia="tr-TR"/>
              </w:rPr>
              <w:t>YÖK ve Üniversiteler</w:t>
            </w:r>
          </w:p>
        </w:tc>
        <w:tc>
          <w:tcPr>
            <w:tcW w:w="5045" w:type="dxa"/>
          </w:tcPr>
          <w:p w14:paraId="521A6743" w14:textId="0EE2744A" w:rsidR="00553885" w:rsidRPr="00553885" w:rsidRDefault="00553885" w:rsidP="0055388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2060"/>
                <w:sz w:val="24"/>
                <w:szCs w:val="24"/>
                <w:lang w:eastAsia="tr-TR"/>
              </w:rPr>
            </w:pPr>
            <w:r w:rsidRPr="00553885">
              <w:rPr>
                <w:rFonts w:eastAsia="Times New Roman" w:cs="Arial"/>
                <w:color w:val="002060"/>
                <w:sz w:val="24"/>
                <w:szCs w:val="24"/>
                <w:lang w:eastAsia="tr-TR"/>
              </w:rPr>
              <w:t xml:space="preserve"> </w:t>
            </w:r>
            <w:r w:rsidR="009E2E15">
              <w:rPr>
                <w:rFonts w:eastAsia="Times New Roman" w:cs="Arial"/>
                <w:color w:val="002060"/>
                <w:sz w:val="24"/>
                <w:szCs w:val="24"/>
                <w:lang w:eastAsia="tr-TR"/>
              </w:rPr>
              <w:t>134.692.983.000</w:t>
            </w:r>
            <w:r w:rsidRPr="00553885">
              <w:rPr>
                <w:rFonts w:eastAsia="Times New Roman" w:cs="Arial"/>
                <w:color w:val="002060"/>
                <w:sz w:val="24"/>
                <w:szCs w:val="24"/>
                <w:lang w:eastAsia="tr-TR"/>
              </w:rPr>
              <w:t>TL</w:t>
            </w:r>
          </w:p>
        </w:tc>
      </w:tr>
      <w:tr w:rsidR="00553885" w:rsidRPr="00553885" w14:paraId="52751BFF" w14:textId="77777777" w:rsidTr="0011094F">
        <w:trPr>
          <w:trHeight w:val="296"/>
        </w:trPr>
        <w:tc>
          <w:tcPr>
            <w:cnfStyle w:val="001000000000" w:firstRow="0" w:lastRow="0" w:firstColumn="1" w:lastColumn="0" w:oddVBand="0" w:evenVBand="0" w:oddHBand="0" w:evenHBand="0" w:firstRowFirstColumn="0" w:firstRowLastColumn="0" w:lastRowFirstColumn="0" w:lastRowLastColumn="0"/>
            <w:tcW w:w="4841" w:type="dxa"/>
          </w:tcPr>
          <w:p w14:paraId="2807D21B" w14:textId="77777777" w:rsidR="00553885" w:rsidRPr="00553885" w:rsidRDefault="00553885" w:rsidP="00553885">
            <w:pPr>
              <w:spacing w:before="120" w:line="276" w:lineRule="auto"/>
              <w:jc w:val="center"/>
              <w:rPr>
                <w:rFonts w:eastAsia="Times New Roman" w:cs="Arial"/>
                <w:color w:val="FF0000"/>
                <w:sz w:val="24"/>
                <w:szCs w:val="24"/>
                <w:lang w:eastAsia="tr-TR"/>
              </w:rPr>
            </w:pPr>
            <w:r w:rsidRPr="00553885">
              <w:rPr>
                <w:rFonts w:eastAsia="Times New Roman" w:cs="Arial"/>
                <w:color w:val="FF0000"/>
                <w:sz w:val="24"/>
                <w:szCs w:val="24"/>
                <w:lang w:eastAsia="tr-TR"/>
              </w:rPr>
              <w:t>ÖSYM</w:t>
            </w:r>
          </w:p>
        </w:tc>
        <w:tc>
          <w:tcPr>
            <w:tcW w:w="5045" w:type="dxa"/>
          </w:tcPr>
          <w:p w14:paraId="4F14224F" w14:textId="41227550" w:rsidR="00553885" w:rsidRPr="00553885" w:rsidRDefault="009E2E15" w:rsidP="009E2E1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2060"/>
                <w:sz w:val="24"/>
                <w:szCs w:val="24"/>
                <w:lang w:eastAsia="tr-TR"/>
              </w:rPr>
            </w:pPr>
            <w:r>
              <w:rPr>
                <w:rFonts w:eastAsia="Times New Roman" w:cs="Arial"/>
                <w:color w:val="002060"/>
                <w:sz w:val="24"/>
                <w:szCs w:val="24"/>
                <w:lang w:eastAsia="tr-TR"/>
              </w:rPr>
              <w:t>1.544</w:t>
            </w:r>
            <w:r w:rsidR="00335B39">
              <w:rPr>
                <w:rFonts w:eastAsia="Times New Roman" w:cs="Arial"/>
                <w:color w:val="002060"/>
                <w:sz w:val="24"/>
                <w:szCs w:val="24"/>
                <w:lang w:eastAsia="tr-TR"/>
              </w:rPr>
              <w:t>.</w:t>
            </w:r>
            <w:r>
              <w:rPr>
                <w:rFonts w:eastAsia="Times New Roman" w:cs="Arial"/>
                <w:color w:val="002060"/>
                <w:sz w:val="24"/>
                <w:szCs w:val="24"/>
                <w:lang w:eastAsia="tr-TR"/>
              </w:rPr>
              <w:t>369.000</w:t>
            </w:r>
            <w:r w:rsidR="007F09C6">
              <w:rPr>
                <w:rFonts w:eastAsia="Times New Roman" w:cs="Arial"/>
                <w:color w:val="002060"/>
                <w:sz w:val="24"/>
                <w:szCs w:val="24"/>
                <w:lang w:eastAsia="tr-TR"/>
              </w:rPr>
              <w:t xml:space="preserve"> </w:t>
            </w:r>
            <w:r w:rsidR="00553885" w:rsidRPr="00553885">
              <w:rPr>
                <w:rFonts w:eastAsia="Times New Roman" w:cs="Arial"/>
                <w:color w:val="002060"/>
                <w:sz w:val="24"/>
                <w:szCs w:val="24"/>
                <w:lang w:eastAsia="tr-TR"/>
              </w:rPr>
              <w:t>TL</w:t>
            </w:r>
          </w:p>
        </w:tc>
      </w:tr>
      <w:tr w:rsidR="00553885" w:rsidRPr="00553885" w14:paraId="0AE53FB2" w14:textId="77777777" w:rsidTr="0011094F">
        <w:trPr>
          <w:trHeight w:val="296"/>
        </w:trPr>
        <w:tc>
          <w:tcPr>
            <w:cnfStyle w:val="001000000000" w:firstRow="0" w:lastRow="0" w:firstColumn="1" w:lastColumn="0" w:oddVBand="0" w:evenVBand="0" w:oddHBand="0" w:evenHBand="0" w:firstRowFirstColumn="0" w:firstRowLastColumn="0" w:lastRowFirstColumn="0" w:lastRowLastColumn="0"/>
            <w:tcW w:w="4841" w:type="dxa"/>
          </w:tcPr>
          <w:p w14:paraId="71BFE3AB" w14:textId="248D16E5" w:rsidR="00553885" w:rsidRPr="00553885" w:rsidRDefault="00082C97" w:rsidP="00553885">
            <w:pPr>
              <w:spacing w:before="120" w:line="276" w:lineRule="auto"/>
              <w:jc w:val="center"/>
              <w:rPr>
                <w:rFonts w:eastAsia="Times New Roman" w:cs="Arial"/>
                <w:color w:val="FF0000"/>
                <w:sz w:val="24"/>
                <w:szCs w:val="24"/>
                <w:lang w:eastAsia="tr-TR"/>
              </w:rPr>
            </w:pPr>
            <w:r>
              <w:rPr>
                <w:rFonts w:eastAsia="Times New Roman" w:cs="Arial"/>
                <w:color w:val="FF0000"/>
                <w:sz w:val="24"/>
                <w:szCs w:val="24"/>
                <w:lang w:eastAsia="tr-TR"/>
              </w:rPr>
              <w:t>Diğer-KYK(Yaklaşık)</w:t>
            </w:r>
          </w:p>
        </w:tc>
        <w:tc>
          <w:tcPr>
            <w:tcW w:w="5045" w:type="dxa"/>
          </w:tcPr>
          <w:p w14:paraId="698E15BF" w14:textId="2B95954B" w:rsidR="00553885" w:rsidRPr="00553885" w:rsidRDefault="00082C97" w:rsidP="0055388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4"/>
                <w:szCs w:val="24"/>
                <w:lang w:eastAsia="tr-TR"/>
              </w:rPr>
            </w:pPr>
            <w:r>
              <w:rPr>
                <w:rFonts w:eastAsia="Times New Roman" w:cs="Arial"/>
                <w:color w:val="000000"/>
                <w:sz w:val="24"/>
                <w:szCs w:val="24"/>
                <w:lang w:eastAsia="tr-TR"/>
              </w:rPr>
              <w:t>77,976.000.000</w:t>
            </w:r>
            <w:r w:rsidR="00961C41">
              <w:rPr>
                <w:rFonts w:eastAsia="Times New Roman" w:cs="Arial"/>
                <w:color w:val="000000"/>
                <w:sz w:val="24"/>
                <w:szCs w:val="24"/>
                <w:lang w:eastAsia="tr-TR"/>
              </w:rPr>
              <w:t>TL</w:t>
            </w:r>
          </w:p>
        </w:tc>
      </w:tr>
      <w:tr w:rsidR="00553885" w:rsidRPr="00553885" w14:paraId="1E2B054A" w14:textId="77777777" w:rsidTr="0011094F">
        <w:trPr>
          <w:trHeight w:val="303"/>
        </w:trPr>
        <w:tc>
          <w:tcPr>
            <w:cnfStyle w:val="001000000000" w:firstRow="0" w:lastRow="0" w:firstColumn="1" w:lastColumn="0" w:oddVBand="0" w:evenVBand="0" w:oddHBand="0" w:evenHBand="0" w:firstRowFirstColumn="0" w:firstRowLastColumn="0" w:lastRowFirstColumn="0" w:lastRowLastColumn="0"/>
            <w:tcW w:w="4841" w:type="dxa"/>
          </w:tcPr>
          <w:p w14:paraId="7950B28B" w14:textId="77777777" w:rsidR="00553885" w:rsidRPr="00553885" w:rsidRDefault="00553885" w:rsidP="00553885">
            <w:pPr>
              <w:spacing w:before="120" w:line="276" w:lineRule="auto"/>
              <w:jc w:val="center"/>
              <w:rPr>
                <w:rFonts w:eastAsia="Times New Roman" w:cs="Arial"/>
                <w:color w:val="FF0000"/>
                <w:sz w:val="24"/>
                <w:szCs w:val="24"/>
                <w:lang w:eastAsia="tr-TR"/>
              </w:rPr>
            </w:pPr>
            <w:r w:rsidRPr="00553885">
              <w:rPr>
                <w:rFonts w:eastAsia="Times New Roman" w:cs="Arial"/>
                <w:color w:val="FF0000"/>
                <w:sz w:val="24"/>
                <w:szCs w:val="24"/>
                <w:lang w:eastAsia="tr-TR"/>
              </w:rPr>
              <w:t>TOPLAM</w:t>
            </w:r>
          </w:p>
        </w:tc>
        <w:tc>
          <w:tcPr>
            <w:tcW w:w="5045" w:type="dxa"/>
          </w:tcPr>
          <w:p w14:paraId="27DE81EC" w14:textId="14CC0F47" w:rsidR="00553885" w:rsidRPr="00553885" w:rsidRDefault="009E2E15" w:rsidP="00553885">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4"/>
                <w:szCs w:val="24"/>
                <w:lang w:eastAsia="tr-TR"/>
              </w:rPr>
            </w:pPr>
            <w:r>
              <w:rPr>
                <w:rFonts w:eastAsia="Times New Roman" w:cs="Arial"/>
                <w:b/>
                <w:color w:val="000000"/>
                <w:sz w:val="24"/>
                <w:szCs w:val="24"/>
                <w:lang w:eastAsia="tr-TR"/>
              </w:rPr>
              <w:t>649.800</w:t>
            </w:r>
            <w:r w:rsidR="007F09C6">
              <w:rPr>
                <w:rFonts w:eastAsia="Times New Roman" w:cs="Arial"/>
                <w:b/>
                <w:color w:val="000000"/>
                <w:sz w:val="24"/>
                <w:szCs w:val="24"/>
                <w:lang w:eastAsia="tr-TR"/>
              </w:rPr>
              <w:t>.000.000</w:t>
            </w:r>
            <w:r>
              <w:rPr>
                <w:rFonts w:eastAsia="Times New Roman" w:cs="Arial"/>
                <w:b/>
                <w:color w:val="000000"/>
                <w:sz w:val="24"/>
                <w:szCs w:val="24"/>
                <w:lang w:eastAsia="tr-TR"/>
              </w:rPr>
              <w:t xml:space="preserve"> TL</w:t>
            </w:r>
          </w:p>
        </w:tc>
      </w:tr>
    </w:tbl>
    <w:p w14:paraId="7376B774" w14:textId="3963F736" w:rsidR="00553885" w:rsidRDefault="00F072DA" w:rsidP="00553885">
      <w:pPr>
        <w:spacing w:before="120" w:after="0" w:line="276" w:lineRule="auto"/>
        <w:ind w:left="-14"/>
        <w:jc w:val="both"/>
        <w:rPr>
          <w:rFonts w:eastAsia="Times New Roman" w:cs="Arial"/>
          <w:b/>
          <w:color w:val="000000"/>
          <w:sz w:val="16"/>
          <w:szCs w:val="16"/>
          <w:lang w:eastAsia="tr-TR"/>
        </w:rPr>
      </w:pPr>
      <w:r>
        <w:rPr>
          <w:rFonts w:eastAsia="Times New Roman" w:cs="Arial"/>
          <w:b/>
          <w:color w:val="000000"/>
          <w:sz w:val="16"/>
          <w:szCs w:val="16"/>
          <w:lang w:eastAsia="tr-TR"/>
        </w:rPr>
        <w:t>Kaynak: Hazine ve Maliye Bak</w:t>
      </w:r>
      <w:r w:rsidR="00211F2F">
        <w:rPr>
          <w:rFonts w:eastAsia="Times New Roman" w:cs="Arial"/>
          <w:b/>
          <w:color w:val="000000"/>
          <w:sz w:val="16"/>
          <w:szCs w:val="16"/>
          <w:lang w:eastAsia="tr-TR"/>
        </w:rPr>
        <w:t>a</w:t>
      </w:r>
      <w:r>
        <w:rPr>
          <w:rFonts w:eastAsia="Times New Roman" w:cs="Arial"/>
          <w:b/>
          <w:color w:val="000000"/>
          <w:sz w:val="16"/>
          <w:szCs w:val="16"/>
          <w:lang w:eastAsia="tr-TR"/>
        </w:rPr>
        <w:t>nlığı</w:t>
      </w:r>
    </w:p>
    <w:p w14:paraId="4B347A5B" w14:textId="7A4AF36B" w:rsidR="008D3338" w:rsidRPr="00702E1A" w:rsidRDefault="008D3338" w:rsidP="00702E1A">
      <w:pPr>
        <w:pStyle w:val="Balk1"/>
        <w:rPr>
          <w:rFonts w:eastAsia="Times New Roman"/>
          <w:b/>
          <w:color w:val="auto"/>
          <w:lang w:eastAsia="tr-TR"/>
        </w:rPr>
      </w:pPr>
      <w:bookmarkStart w:id="4" w:name="_Toc117423411"/>
      <w:r w:rsidRPr="00702E1A">
        <w:rPr>
          <w:rFonts w:eastAsia="Times New Roman"/>
          <w:b/>
          <w:color w:val="auto"/>
          <w:lang w:eastAsia="tr-TR"/>
        </w:rPr>
        <w:t>E</w:t>
      </w:r>
      <w:r w:rsidR="00702E1A" w:rsidRPr="00702E1A">
        <w:rPr>
          <w:rFonts w:eastAsia="Times New Roman"/>
          <w:b/>
          <w:color w:val="auto"/>
          <w:lang w:eastAsia="tr-TR"/>
        </w:rPr>
        <w:t>ğitim bütçesinin dağılımı</w:t>
      </w:r>
      <w:bookmarkEnd w:id="4"/>
    </w:p>
    <w:p w14:paraId="2579461C" w14:textId="01CA5A1B" w:rsidR="008D3338" w:rsidRDefault="004F4DCB" w:rsidP="008D3338">
      <w:pPr>
        <w:spacing w:before="120" w:after="0" w:line="276" w:lineRule="auto"/>
        <w:ind w:left="-14"/>
        <w:jc w:val="both"/>
        <w:rPr>
          <w:rFonts w:eastAsia="Times New Roman" w:cs="Arial"/>
          <w:color w:val="000000"/>
          <w:sz w:val="24"/>
          <w:szCs w:val="24"/>
          <w:lang w:eastAsia="tr-TR"/>
        </w:rPr>
      </w:pPr>
      <w:r>
        <w:rPr>
          <w:rFonts w:eastAsia="Times New Roman" w:cs="Arial"/>
          <w:color w:val="000000"/>
          <w:sz w:val="24"/>
          <w:szCs w:val="24"/>
          <w:lang w:eastAsia="tr-TR"/>
        </w:rPr>
        <w:t>2023</w:t>
      </w:r>
      <w:r w:rsidR="008D3338" w:rsidRPr="00741C61">
        <w:rPr>
          <w:rFonts w:eastAsia="Times New Roman" w:cs="Arial"/>
          <w:color w:val="000000"/>
          <w:sz w:val="24"/>
          <w:szCs w:val="24"/>
          <w:lang w:eastAsia="tr-TR"/>
        </w:rPr>
        <w:t xml:space="preserve"> yılında toplam eğitim bütçesi</w:t>
      </w:r>
      <w:r>
        <w:rPr>
          <w:rFonts w:eastAsia="Times New Roman" w:cs="Arial"/>
          <w:color w:val="000000"/>
          <w:sz w:val="24"/>
          <w:szCs w:val="24"/>
          <w:lang w:eastAsia="tr-TR"/>
        </w:rPr>
        <w:t xml:space="preserve"> 649.800.000.000</w:t>
      </w:r>
      <w:r w:rsidR="00741C61" w:rsidRPr="00741C61">
        <w:rPr>
          <w:rFonts w:eastAsia="Times New Roman" w:cs="Arial"/>
          <w:color w:val="000000"/>
          <w:sz w:val="24"/>
          <w:szCs w:val="24"/>
          <w:lang w:eastAsia="tr-TR"/>
        </w:rPr>
        <w:t xml:space="preserve"> TL olarak belirlenmiştir. </w:t>
      </w:r>
      <w:r w:rsidR="00335B39">
        <w:rPr>
          <w:rFonts w:eastAsia="Times New Roman" w:cs="Arial"/>
          <w:color w:val="000000"/>
          <w:sz w:val="24"/>
          <w:szCs w:val="24"/>
          <w:lang w:eastAsia="tr-TR"/>
        </w:rPr>
        <w:t>Toplam eğitim bütçesinin; %66,99’unu MEB, %20,72’sini</w:t>
      </w:r>
      <w:r w:rsidR="00741C61">
        <w:rPr>
          <w:rFonts w:eastAsia="Times New Roman" w:cs="Arial"/>
          <w:color w:val="000000"/>
          <w:sz w:val="24"/>
          <w:szCs w:val="24"/>
          <w:lang w:eastAsia="tr-TR"/>
        </w:rPr>
        <w:t xml:space="preserve"> YÖK ve üniversiteler, </w:t>
      </w:r>
      <w:r w:rsidR="008D3338" w:rsidRPr="00741C61">
        <w:rPr>
          <w:rFonts w:eastAsia="Times New Roman" w:cs="Arial"/>
          <w:color w:val="000000"/>
          <w:sz w:val="24"/>
          <w:szCs w:val="24"/>
          <w:lang w:eastAsia="tr-TR"/>
        </w:rPr>
        <w:t>%0,</w:t>
      </w:r>
      <w:r w:rsidR="00335B39">
        <w:rPr>
          <w:rFonts w:eastAsia="Times New Roman" w:cs="Arial"/>
          <w:color w:val="000000"/>
          <w:sz w:val="24"/>
          <w:szCs w:val="24"/>
          <w:lang w:eastAsia="tr-TR"/>
        </w:rPr>
        <w:t>23</w:t>
      </w:r>
      <w:r w:rsidR="008D3338" w:rsidRPr="00741C61">
        <w:rPr>
          <w:rFonts w:eastAsia="Times New Roman" w:cs="Arial"/>
          <w:color w:val="000000"/>
          <w:sz w:val="24"/>
          <w:szCs w:val="24"/>
          <w:lang w:eastAsia="tr-TR"/>
        </w:rPr>
        <w:t>’ünü ÖSYM bütçeleri</w:t>
      </w:r>
      <w:r w:rsidR="00335B39">
        <w:rPr>
          <w:rFonts w:eastAsia="Times New Roman" w:cs="Arial"/>
          <w:color w:val="000000"/>
          <w:sz w:val="24"/>
          <w:szCs w:val="24"/>
          <w:lang w:eastAsia="tr-TR"/>
        </w:rPr>
        <w:t xml:space="preserve">, %12,06’sını ise KYK ve diğer bütçeler </w:t>
      </w:r>
      <w:r w:rsidR="008D3338" w:rsidRPr="00741C61">
        <w:rPr>
          <w:rFonts w:eastAsia="Times New Roman" w:cs="Arial"/>
          <w:color w:val="000000"/>
          <w:sz w:val="24"/>
          <w:szCs w:val="24"/>
          <w:lang w:eastAsia="tr-TR"/>
        </w:rPr>
        <w:t>oluşturmuştur.</w:t>
      </w:r>
    </w:p>
    <w:p w14:paraId="4AEF7122" w14:textId="782A771D" w:rsidR="00CB1141" w:rsidRDefault="00CB1141" w:rsidP="008D3338">
      <w:pPr>
        <w:spacing w:before="120" w:after="0" w:line="276" w:lineRule="auto"/>
        <w:ind w:left="-14"/>
        <w:jc w:val="both"/>
        <w:rPr>
          <w:rFonts w:eastAsia="Times New Roman" w:cs="Arial"/>
          <w:color w:val="000000"/>
          <w:sz w:val="24"/>
          <w:szCs w:val="24"/>
          <w:lang w:eastAsia="tr-TR"/>
        </w:rPr>
      </w:pPr>
      <w:r>
        <w:rPr>
          <w:rFonts w:eastAsia="Times New Roman" w:cs="Arial"/>
          <w:color w:val="000000"/>
          <w:sz w:val="24"/>
          <w:szCs w:val="24"/>
          <w:lang w:eastAsia="tr-TR"/>
        </w:rPr>
        <w:t>Eğitim bütçesi 2023 yılı için,</w:t>
      </w:r>
    </w:p>
    <w:p w14:paraId="102884C1" w14:textId="26EACA5A" w:rsidR="00CB1141" w:rsidRPr="00741C61" w:rsidRDefault="00CB1141" w:rsidP="008D3338">
      <w:pPr>
        <w:spacing w:before="120" w:after="0" w:line="276" w:lineRule="auto"/>
        <w:ind w:left="-14"/>
        <w:jc w:val="both"/>
        <w:rPr>
          <w:rFonts w:eastAsia="Times New Roman" w:cs="Arial"/>
          <w:color w:val="000000"/>
          <w:sz w:val="24"/>
          <w:szCs w:val="24"/>
          <w:lang w:eastAsia="tr-TR"/>
        </w:rPr>
      </w:pPr>
      <w:r>
        <w:rPr>
          <w:rFonts w:eastAsia="Times New Roman" w:cs="Arial"/>
          <w:color w:val="000000"/>
          <w:sz w:val="24"/>
          <w:szCs w:val="24"/>
          <w:lang w:eastAsia="tr-TR"/>
        </w:rPr>
        <w:t xml:space="preserve">649.800.000.000 TL olarak belirlenmiştir. 2023 eğitim bütçesinin </w:t>
      </w:r>
      <w:r w:rsidRPr="00741C61">
        <w:rPr>
          <w:rFonts w:eastAsia="Times New Roman" w:cs="Arial"/>
          <w:color w:val="000000"/>
          <w:sz w:val="24"/>
          <w:szCs w:val="24"/>
          <w:lang w:eastAsia="tr-TR"/>
        </w:rPr>
        <w:t>Gayri Safi</w:t>
      </w:r>
      <w:r>
        <w:rPr>
          <w:rFonts w:eastAsia="Times New Roman" w:cs="Arial"/>
          <w:color w:val="000000"/>
          <w:sz w:val="24"/>
          <w:szCs w:val="24"/>
          <w:lang w:eastAsia="tr-TR"/>
        </w:rPr>
        <w:t xml:space="preserve"> Yurt İçi Hasılaya (GSYH) oranı %3,48</w:t>
      </w:r>
      <w:r w:rsidRPr="00741C61">
        <w:rPr>
          <w:rFonts w:eastAsia="Times New Roman" w:cs="Arial"/>
          <w:color w:val="000000"/>
          <w:sz w:val="24"/>
          <w:szCs w:val="24"/>
          <w:lang w:eastAsia="tr-TR"/>
        </w:rPr>
        <w:t>; merk</w:t>
      </w:r>
      <w:r>
        <w:rPr>
          <w:rFonts w:eastAsia="Times New Roman" w:cs="Arial"/>
          <w:color w:val="000000"/>
          <w:sz w:val="24"/>
          <w:szCs w:val="24"/>
          <w:lang w:eastAsia="tr-TR"/>
        </w:rPr>
        <w:t>ezi yönetim bütçesine oranı ise %14,53</w:t>
      </w:r>
      <w:r w:rsidRPr="00741C61">
        <w:rPr>
          <w:rFonts w:eastAsia="Times New Roman" w:cs="Arial"/>
          <w:color w:val="000000"/>
          <w:sz w:val="24"/>
          <w:szCs w:val="24"/>
          <w:lang w:eastAsia="tr-TR"/>
        </w:rPr>
        <w:t xml:space="preserve"> olarak gerçekleşmiştir.</w:t>
      </w:r>
    </w:p>
    <w:p w14:paraId="38835B37" w14:textId="53B40EF4" w:rsidR="008D3338" w:rsidRPr="00082C97" w:rsidRDefault="00335B39" w:rsidP="008D3338">
      <w:pPr>
        <w:spacing w:before="120" w:after="0" w:line="276" w:lineRule="auto"/>
        <w:ind w:left="-14"/>
        <w:jc w:val="both"/>
        <w:rPr>
          <w:rFonts w:eastAsia="Times New Roman" w:cs="Arial"/>
          <w:b/>
          <w:color w:val="000000"/>
          <w:sz w:val="24"/>
          <w:szCs w:val="24"/>
          <w:lang w:eastAsia="tr-TR"/>
        </w:rPr>
      </w:pPr>
      <w:r w:rsidRPr="00082C97">
        <w:rPr>
          <w:rFonts w:eastAsia="Times New Roman" w:cs="Arial"/>
          <w:b/>
          <w:color w:val="000000"/>
          <w:sz w:val="24"/>
          <w:szCs w:val="24"/>
          <w:lang w:eastAsia="tr-TR"/>
        </w:rPr>
        <w:t>Millî Eğitim Bakanlığı 2023</w:t>
      </w:r>
      <w:r w:rsidR="008D3338" w:rsidRPr="00082C97">
        <w:rPr>
          <w:rFonts w:eastAsia="Times New Roman" w:cs="Arial"/>
          <w:b/>
          <w:color w:val="000000"/>
          <w:sz w:val="24"/>
          <w:szCs w:val="24"/>
          <w:lang w:eastAsia="tr-TR"/>
        </w:rPr>
        <w:t xml:space="preserve"> yılı bütçesi</w:t>
      </w:r>
      <w:r w:rsidR="00082C97">
        <w:rPr>
          <w:rFonts w:eastAsia="Times New Roman" w:cs="Arial"/>
          <w:b/>
          <w:color w:val="000000"/>
          <w:sz w:val="24"/>
          <w:szCs w:val="24"/>
          <w:lang w:eastAsia="tr-TR"/>
        </w:rPr>
        <w:t>,</w:t>
      </w:r>
    </w:p>
    <w:p w14:paraId="318AB33C" w14:textId="11804B03" w:rsidR="008D3338" w:rsidRPr="00741C61" w:rsidRDefault="00335B39" w:rsidP="008D3338">
      <w:pPr>
        <w:spacing w:before="120" w:after="0" w:line="276" w:lineRule="auto"/>
        <w:ind w:left="-14"/>
        <w:jc w:val="both"/>
        <w:rPr>
          <w:rFonts w:eastAsia="Times New Roman" w:cs="Arial"/>
          <w:color w:val="000000"/>
          <w:sz w:val="24"/>
          <w:szCs w:val="24"/>
          <w:lang w:eastAsia="tr-TR"/>
        </w:rPr>
      </w:pPr>
      <w:r>
        <w:rPr>
          <w:rFonts w:eastAsia="Times New Roman" w:cs="Arial"/>
          <w:color w:val="000000"/>
          <w:sz w:val="24"/>
          <w:szCs w:val="24"/>
          <w:lang w:eastAsia="tr-TR"/>
        </w:rPr>
        <w:t>435.351.082.000</w:t>
      </w:r>
      <w:r w:rsidR="00741C61">
        <w:rPr>
          <w:rFonts w:eastAsia="Times New Roman" w:cs="Arial"/>
          <w:color w:val="000000"/>
          <w:sz w:val="24"/>
          <w:szCs w:val="24"/>
          <w:lang w:eastAsia="tr-TR"/>
        </w:rPr>
        <w:t xml:space="preserve"> TL olarak belirlenmiştir. </w:t>
      </w:r>
      <w:r w:rsidR="008D3338" w:rsidRPr="00741C61">
        <w:rPr>
          <w:rFonts w:eastAsia="Times New Roman" w:cs="Arial"/>
          <w:color w:val="000000"/>
          <w:sz w:val="24"/>
          <w:szCs w:val="24"/>
          <w:lang w:eastAsia="tr-TR"/>
        </w:rPr>
        <w:t>Millî Eğitim</w:t>
      </w:r>
      <w:r>
        <w:rPr>
          <w:rFonts w:eastAsia="Times New Roman" w:cs="Arial"/>
          <w:color w:val="000000"/>
          <w:sz w:val="24"/>
          <w:szCs w:val="24"/>
          <w:lang w:eastAsia="tr-TR"/>
        </w:rPr>
        <w:t xml:space="preserve"> Bakanlığı 2023</w:t>
      </w:r>
      <w:r w:rsidR="00741C61">
        <w:rPr>
          <w:rFonts w:eastAsia="Times New Roman" w:cs="Arial"/>
          <w:color w:val="000000"/>
          <w:sz w:val="24"/>
          <w:szCs w:val="24"/>
          <w:lang w:eastAsia="tr-TR"/>
        </w:rPr>
        <w:t xml:space="preserve"> yılı bütçesinin </w:t>
      </w:r>
      <w:bookmarkStart w:id="5" w:name="_Hlk117190986"/>
      <w:r w:rsidR="008D3338" w:rsidRPr="00741C61">
        <w:rPr>
          <w:rFonts w:eastAsia="Times New Roman" w:cs="Arial"/>
          <w:color w:val="000000"/>
          <w:sz w:val="24"/>
          <w:szCs w:val="24"/>
          <w:lang w:eastAsia="tr-TR"/>
        </w:rPr>
        <w:t>Gayri Safi</w:t>
      </w:r>
      <w:r w:rsidR="00741C61">
        <w:rPr>
          <w:rFonts w:eastAsia="Times New Roman" w:cs="Arial"/>
          <w:color w:val="000000"/>
          <w:sz w:val="24"/>
          <w:szCs w:val="24"/>
          <w:lang w:eastAsia="tr-TR"/>
        </w:rPr>
        <w:t xml:space="preserve"> Yurt İçi Hasılaya (GSYH) oranı </w:t>
      </w:r>
      <w:r>
        <w:rPr>
          <w:rFonts w:eastAsia="Times New Roman" w:cs="Arial"/>
          <w:color w:val="000000"/>
          <w:sz w:val="24"/>
          <w:szCs w:val="24"/>
          <w:lang w:eastAsia="tr-TR"/>
        </w:rPr>
        <w:t>%2,33</w:t>
      </w:r>
      <w:r w:rsidR="008D3338" w:rsidRPr="00741C61">
        <w:rPr>
          <w:rFonts w:eastAsia="Times New Roman" w:cs="Arial"/>
          <w:color w:val="000000"/>
          <w:sz w:val="24"/>
          <w:szCs w:val="24"/>
          <w:lang w:eastAsia="tr-TR"/>
        </w:rPr>
        <w:t>; merk</w:t>
      </w:r>
      <w:r w:rsidR="00741C61">
        <w:rPr>
          <w:rFonts w:eastAsia="Times New Roman" w:cs="Arial"/>
          <w:color w:val="000000"/>
          <w:sz w:val="24"/>
          <w:szCs w:val="24"/>
          <w:lang w:eastAsia="tr-TR"/>
        </w:rPr>
        <w:t xml:space="preserve">ezi yönetim bütçesine oranı ise </w:t>
      </w:r>
      <w:r>
        <w:rPr>
          <w:rFonts w:eastAsia="Times New Roman" w:cs="Arial"/>
          <w:color w:val="000000"/>
          <w:sz w:val="24"/>
          <w:szCs w:val="24"/>
          <w:lang w:eastAsia="tr-TR"/>
        </w:rPr>
        <w:t>%</w:t>
      </w:r>
      <w:r w:rsidR="00CB1141">
        <w:rPr>
          <w:rFonts w:eastAsia="Times New Roman" w:cs="Arial"/>
          <w:color w:val="000000"/>
          <w:sz w:val="24"/>
          <w:szCs w:val="24"/>
          <w:lang w:eastAsia="tr-TR"/>
        </w:rPr>
        <w:t>9,74</w:t>
      </w:r>
      <w:r w:rsidR="008D3338" w:rsidRPr="00741C61">
        <w:rPr>
          <w:rFonts w:eastAsia="Times New Roman" w:cs="Arial"/>
          <w:color w:val="000000"/>
          <w:sz w:val="24"/>
          <w:szCs w:val="24"/>
          <w:lang w:eastAsia="tr-TR"/>
        </w:rPr>
        <w:t xml:space="preserve"> olarak gerçekleşmiştir.</w:t>
      </w:r>
      <w:bookmarkEnd w:id="5"/>
    </w:p>
    <w:p w14:paraId="09B57D43" w14:textId="51B617A9" w:rsidR="008D3338" w:rsidRPr="00082C97" w:rsidRDefault="008D3338" w:rsidP="008D3338">
      <w:pPr>
        <w:spacing w:before="120" w:after="0" w:line="276" w:lineRule="auto"/>
        <w:ind w:left="-14"/>
        <w:jc w:val="both"/>
        <w:rPr>
          <w:rFonts w:eastAsia="Times New Roman" w:cs="Arial"/>
          <w:b/>
          <w:color w:val="000000"/>
          <w:sz w:val="24"/>
          <w:szCs w:val="24"/>
          <w:lang w:eastAsia="tr-TR"/>
        </w:rPr>
      </w:pPr>
      <w:r w:rsidRPr="00082C97">
        <w:rPr>
          <w:rFonts w:eastAsia="Times New Roman" w:cs="Arial"/>
          <w:b/>
          <w:color w:val="000000"/>
          <w:sz w:val="24"/>
          <w:szCs w:val="24"/>
          <w:lang w:eastAsia="tr-TR"/>
        </w:rPr>
        <w:t>Ek</w:t>
      </w:r>
      <w:r w:rsidR="00335B39" w:rsidRPr="00082C97">
        <w:rPr>
          <w:rFonts w:eastAsia="Times New Roman" w:cs="Arial"/>
          <w:b/>
          <w:color w:val="000000"/>
          <w:sz w:val="24"/>
          <w:szCs w:val="24"/>
          <w:lang w:eastAsia="tr-TR"/>
        </w:rPr>
        <w:t>onomik sınıflandırmaya göre 2023</w:t>
      </w:r>
      <w:r w:rsidRPr="00082C97">
        <w:rPr>
          <w:rFonts w:eastAsia="Times New Roman" w:cs="Arial"/>
          <w:b/>
          <w:color w:val="000000"/>
          <w:sz w:val="24"/>
          <w:szCs w:val="24"/>
          <w:lang w:eastAsia="tr-TR"/>
        </w:rPr>
        <w:t xml:space="preserve"> yılı MEB</w:t>
      </w:r>
      <w:r w:rsidR="00335B39" w:rsidRPr="00082C97">
        <w:rPr>
          <w:rFonts w:eastAsia="Times New Roman" w:cs="Arial"/>
          <w:b/>
          <w:color w:val="000000"/>
          <w:sz w:val="24"/>
          <w:szCs w:val="24"/>
          <w:lang w:eastAsia="tr-TR"/>
        </w:rPr>
        <w:t xml:space="preserve"> </w:t>
      </w:r>
      <w:r w:rsidRPr="00082C97">
        <w:rPr>
          <w:rFonts w:eastAsia="Times New Roman" w:cs="Arial"/>
          <w:b/>
          <w:color w:val="000000"/>
          <w:sz w:val="24"/>
          <w:szCs w:val="24"/>
          <w:lang w:eastAsia="tr-TR"/>
        </w:rPr>
        <w:t>bütçesinin;</w:t>
      </w:r>
    </w:p>
    <w:p w14:paraId="31D34298" w14:textId="48227428" w:rsidR="008D3338" w:rsidRPr="00741C61" w:rsidRDefault="00335B39" w:rsidP="008D3338">
      <w:pPr>
        <w:spacing w:before="120" w:after="0" w:line="276" w:lineRule="auto"/>
        <w:ind w:left="-14"/>
        <w:jc w:val="both"/>
        <w:rPr>
          <w:rFonts w:eastAsia="Times New Roman" w:cs="Arial"/>
          <w:color w:val="000000"/>
          <w:sz w:val="24"/>
          <w:szCs w:val="24"/>
          <w:lang w:eastAsia="tr-TR"/>
        </w:rPr>
      </w:pPr>
      <w:r>
        <w:rPr>
          <w:rFonts w:eastAsia="Times New Roman" w:cs="Arial"/>
          <w:color w:val="000000"/>
          <w:sz w:val="24"/>
          <w:szCs w:val="24"/>
          <w:lang w:eastAsia="tr-TR"/>
        </w:rPr>
        <w:t>%68</w:t>
      </w:r>
      <w:r w:rsidR="005A0A7E">
        <w:rPr>
          <w:rFonts w:eastAsia="Times New Roman" w:cs="Arial"/>
          <w:color w:val="000000"/>
          <w:sz w:val="24"/>
          <w:szCs w:val="24"/>
          <w:lang w:eastAsia="tr-TR"/>
        </w:rPr>
        <w:t>,31</w:t>
      </w:r>
      <w:r>
        <w:rPr>
          <w:rFonts w:eastAsia="Times New Roman" w:cs="Arial"/>
          <w:color w:val="000000"/>
          <w:sz w:val="24"/>
          <w:szCs w:val="24"/>
          <w:lang w:eastAsia="tr-TR"/>
        </w:rPr>
        <w:t>’i</w:t>
      </w:r>
      <w:r w:rsidR="008D3338" w:rsidRPr="00741C61">
        <w:rPr>
          <w:rFonts w:eastAsia="Times New Roman" w:cs="Arial"/>
          <w:color w:val="000000"/>
          <w:sz w:val="24"/>
          <w:szCs w:val="24"/>
          <w:lang w:eastAsia="tr-TR"/>
        </w:rPr>
        <w:t xml:space="preserve"> personel giderlerine,</w:t>
      </w:r>
      <w:r w:rsidR="00741C61">
        <w:rPr>
          <w:rFonts w:eastAsia="Times New Roman" w:cs="Arial"/>
          <w:color w:val="000000"/>
          <w:sz w:val="24"/>
          <w:szCs w:val="24"/>
          <w:lang w:eastAsia="tr-TR"/>
        </w:rPr>
        <w:t xml:space="preserve"> </w:t>
      </w:r>
      <w:r>
        <w:rPr>
          <w:rFonts w:eastAsia="Times New Roman" w:cs="Arial"/>
          <w:color w:val="000000"/>
          <w:sz w:val="24"/>
          <w:szCs w:val="24"/>
          <w:lang w:eastAsia="tr-TR"/>
        </w:rPr>
        <w:t>%10,37’si</w:t>
      </w:r>
      <w:r w:rsidR="00741C61">
        <w:rPr>
          <w:rFonts w:eastAsia="Times New Roman" w:cs="Arial"/>
          <w:color w:val="000000"/>
          <w:sz w:val="24"/>
          <w:szCs w:val="24"/>
          <w:lang w:eastAsia="tr-TR"/>
        </w:rPr>
        <w:t xml:space="preserve"> sosyal güvenlik kurumu devlet </w:t>
      </w:r>
      <w:r w:rsidR="008D3338" w:rsidRPr="00741C61">
        <w:rPr>
          <w:rFonts w:eastAsia="Times New Roman" w:cs="Arial"/>
          <w:color w:val="000000"/>
          <w:sz w:val="24"/>
          <w:szCs w:val="24"/>
          <w:lang w:eastAsia="tr-TR"/>
        </w:rPr>
        <w:t>primi giderlerine,</w:t>
      </w:r>
      <w:r w:rsidR="00741C61">
        <w:rPr>
          <w:rFonts w:eastAsia="Times New Roman" w:cs="Arial"/>
          <w:color w:val="000000"/>
          <w:sz w:val="24"/>
          <w:szCs w:val="24"/>
          <w:lang w:eastAsia="tr-TR"/>
        </w:rPr>
        <w:t xml:space="preserve"> </w:t>
      </w:r>
      <w:r>
        <w:rPr>
          <w:rFonts w:eastAsia="Times New Roman" w:cs="Arial"/>
          <w:color w:val="000000"/>
          <w:sz w:val="24"/>
          <w:szCs w:val="24"/>
          <w:lang w:eastAsia="tr-TR"/>
        </w:rPr>
        <w:t>%8,95’i</w:t>
      </w:r>
      <w:r w:rsidR="008D3338" w:rsidRPr="00741C61">
        <w:rPr>
          <w:rFonts w:eastAsia="Times New Roman" w:cs="Arial"/>
          <w:color w:val="000000"/>
          <w:sz w:val="24"/>
          <w:szCs w:val="24"/>
          <w:lang w:eastAsia="tr-TR"/>
        </w:rPr>
        <w:t xml:space="preserve"> </w:t>
      </w:r>
      <w:r w:rsidR="00741C61">
        <w:rPr>
          <w:rFonts w:eastAsia="Times New Roman" w:cs="Arial"/>
          <w:color w:val="000000"/>
          <w:sz w:val="24"/>
          <w:szCs w:val="24"/>
          <w:lang w:eastAsia="tr-TR"/>
        </w:rPr>
        <w:t>mal v</w:t>
      </w:r>
      <w:r>
        <w:rPr>
          <w:rFonts w:eastAsia="Times New Roman" w:cs="Arial"/>
          <w:color w:val="000000"/>
          <w:sz w:val="24"/>
          <w:szCs w:val="24"/>
          <w:lang w:eastAsia="tr-TR"/>
        </w:rPr>
        <w:t>e hizmet alım giderlerine, %9,17’si’ sermaye giderlerine, %3,1’i</w:t>
      </w:r>
      <w:r w:rsidR="00741C61">
        <w:rPr>
          <w:rFonts w:eastAsia="Times New Roman" w:cs="Arial"/>
          <w:color w:val="000000"/>
          <w:sz w:val="24"/>
          <w:szCs w:val="24"/>
          <w:lang w:eastAsia="tr-TR"/>
        </w:rPr>
        <w:t xml:space="preserve"> cari transferlere, </w:t>
      </w:r>
      <w:r w:rsidR="005A0A7E">
        <w:rPr>
          <w:rFonts w:eastAsia="Times New Roman" w:cs="Arial"/>
          <w:color w:val="000000"/>
          <w:sz w:val="24"/>
          <w:szCs w:val="24"/>
          <w:lang w:eastAsia="tr-TR"/>
        </w:rPr>
        <w:t>%0,1’i</w:t>
      </w:r>
      <w:r w:rsidR="008D3338" w:rsidRPr="00741C61">
        <w:rPr>
          <w:rFonts w:eastAsia="Times New Roman" w:cs="Arial"/>
          <w:color w:val="000000"/>
          <w:sz w:val="24"/>
          <w:szCs w:val="24"/>
          <w:lang w:eastAsia="tr-TR"/>
        </w:rPr>
        <w:t xml:space="preserve"> ise sermaye transferlerine</w:t>
      </w:r>
      <w:r w:rsidR="005A0A7E">
        <w:rPr>
          <w:rFonts w:eastAsia="Times New Roman" w:cs="Arial"/>
          <w:color w:val="000000"/>
          <w:sz w:val="24"/>
          <w:szCs w:val="24"/>
          <w:lang w:eastAsia="tr-TR"/>
        </w:rPr>
        <w:t xml:space="preserve"> </w:t>
      </w:r>
      <w:r w:rsidR="008D3338" w:rsidRPr="00741C61">
        <w:rPr>
          <w:rFonts w:eastAsia="Times New Roman" w:cs="Arial"/>
          <w:color w:val="000000"/>
          <w:sz w:val="24"/>
          <w:szCs w:val="24"/>
          <w:lang w:eastAsia="tr-TR"/>
        </w:rPr>
        <w:t>ayrılmıştır.</w:t>
      </w:r>
    </w:p>
    <w:p w14:paraId="54CC301F" w14:textId="77777777" w:rsidR="005A0A7E" w:rsidRDefault="005A0A7E" w:rsidP="00741C61">
      <w:pPr>
        <w:spacing w:before="120" w:after="0" w:line="276" w:lineRule="auto"/>
        <w:ind w:left="-14"/>
        <w:jc w:val="both"/>
        <w:rPr>
          <w:rFonts w:eastAsia="Times New Roman" w:cs="Arial"/>
          <w:color w:val="000000"/>
          <w:sz w:val="24"/>
          <w:szCs w:val="24"/>
          <w:lang w:eastAsia="tr-TR"/>
        </w:rPr>
      </w:pPr>
      <w:r>
        <w:rPr>
          <w:rFonts w:eastAsia="Times New Roman" w:cs="Arial"/>
          <w:color w:val="000000"/>
          <w:sz w:val="24"/>
          <w:szCs w:val="24"/>
          <w:lang w:eastAsia="tr-TR"/>
        </w:rPr>
        <w:t>2023</w:t>
      </w:r>
      <w:r w:rsidR="00741C61">
        <w:rPr>
          <w:rFonts w:eastAsia="Times New Roman" w:cs="Arial"/>
          <w:color w:val="000000"/>
          <w:sz w:val="24"/>
          <w:szCs w:val="24"/>
          <w:lang w:eastAsia="tr-TR"/>
        </w:rPr>
        <w:t xml:space="preserve"> yılında Millî Eğitim Bakanlığı </w:t>
      </w:r>
      <w:r w:rsidR="008D3338" w:rsidRPr="00741C61">
        <w:rPr>
          <w:rFonts w:eastAsia="Times New Roman" w:cs="Arial"/>
          <w:color w:val="000000"/>
          <w:sz w:val="24"/>
          <w:szCs w:val="24"/>
          <w:lang w:eastAsia="tr-TR"/>
        </w:rPr>
        <w:t>bütçesinden y</w:t>
      </w:r>
      <w:r w:rsidR="00741C61">
        <w:rPr>
          <w:rFonts w:eastAsia="Times New Roman" w:cs="Arial"/>
          <w:color w:val="000000"/>
          <w:sz w:val="24"/>
          <w:szCs w:val="24"/>
          <w:lang w:eastAsia="tr-TR"/>
        </w:rPr>
        <w:t xml:space="preserve">atırımlara ayrılan pay (sermaye </w:t>
      </w:r>
      <w:r w:rsidR="008D3338" w:rsidRPr="00741C61">
        <w:rPr>
          <w:rFonts w:eastAsia="Times New Roman" w:cs="Arial"/>
          <w:color w:val="000000"/>
          <w:sz w:val="24"/>
          <w:szCs w:val="24"/>
          <w:lang w:eastAsia="tr-TR"/>
        </w:rPr>
        <w:t xml:space="preserve">giderleri) </w:t>
      </w:r>
      <w:r>
        <w:rPr>
          <w:rFonts w:eastAsia="Times New Roman" w:cs="Arial"/>
          <w:color w:val="000000"/>
          <w:sz w:val="24"/>
          <w:szCs w:val="24"/>
          <w:lang w:eastAsia="tr-TR"/>
        </w:rPr>
        <w:t>39.964.000.000</w:t>
      </w:r>
      <w:r w:rsidR="008D3338" w:rsidRPr="00741C61">
        <w:rPr>
          <w:rFonts w:eastAsia="Times New Roman" w:cs="Arial"/>
          <w:color w:val="000000"/>
          <w:sz w:val="24"/>
          <w:szCs w:val="24"/>
          <w:lang w:eastAsia="tr-TR"/>
        </w:rPr>
        <w:t xml:space="preserve"> TL olmuştur.</w:t>
      </w:r>
      <w:r w:rsidR="008D3338" w:rsidRPr="00741C61">
        <w:rPr>
          <w:rFonts w:eastAsia="Times New Roman" w:cs="Arial"/>
          <w:color w:val="000000"/>
          <w:sz w:val="24"/>
          <w:szCs w:val="24"/>
          <w:lang w:eastAsia="tr-TR"/>
        </w:rPr>
        <w:cr/>
      </w:r>
    </w:p>
    <w:p w14:paraId="54A49C92" w14:textId="77777777" w:rsidR="00082C97" w:rsidRDefault="00082C97" w:rsidP="00082C97">
      <w:pPr>
        <w:spacing w:after="0"/>
        <w:rPr>
          <w:b/>
        </w:rPr>
      </w:pPr>
    </w:p>
    <w:p w14:paraId="256CEA7D" w14:textId="77777777" w:rsidR="003D31C9" w:rsidRDefault="003D31C9" w:rsidP="00082C97">
      <w:pPr>
        <w:spacing w:after="0"/>
        <w:rPr>
          <w:b/>
        </w:rPr>
      </w:pPr>
    </w:p>
    <w:p w14:paraId="6F1DAA0A" w14:textId="77777777" w:rsidR="00082C97" w:rsidRDefault="00082C97" w:rsidP="00082C97">
      <w:pPr>
        <w:spacing w:after="0"/>
        <w:rPr>
          <w:b/>
        </w:rPr>
      </w:pPr>
    </w:p>
    <w:p w14:paraId="27BA96B9" w14:textId="3FE6A8F8" w:rsidR="00991C0D" w:rsidRPr="00CB1141" w:rsidRDefault="006D5AF7" w:rsidP="00702E1A">
      <w:pPr>
        <w:pStyle w:val="Balk1"/>
        <w:rPr>
          <w:rFonts w:eastAsia="Times New Roman"/>
          <w:b/>
          <w:color w:val="auto"/>
          <w:sz w:val="24"/>
          <w:szCs w:val="24"/>
          <w:lang w:eastAsia="tr-TR"/>
        </w:rPr>
      </w:pPr>
      <w:bookmarkStart w:id="6" w:name="_Toc117423412"/>
      <w:r w:rsidRPr="00CB1141">
        <w:rPr>
          <w:rFonts w:eastAsia="Times New Roman"/>
          <w:b/>
          <w:color w:val="auto"/>
          <w:sz w:val="24"/>
          <w:szCs w:val="24"/>
          <w:lang w:eastAsia="tr-TR"/>
        </w:rPr>
        <w:t>Grafik 1. Eğitim b</w:t>
      </w:r>
      <w:r w:rsidR="00991C0D" w:rsidRPr="00CB1141">
        <w:rPr>
          <w:rFonts w:eastAsia="Times New Roman"/>
          <w:b/>
          <w:color w:val="auto"/>
          <w:sz w:val="24"/>
          <w:szCs w:val="24"/>
          <w:lang w:eastAsia="tr-TR"/>
        </w:rPr>
        <w:t>ütçesinin GSYH</w:t>
      </w:r>
      <w:r w:rsidRPr="00CB1141">
        <w:rPr>
          <w:rFonts w:eastAsia="Times New Roman"/>
          <w:b/>
          <w:color w:val="auto"/>
          <w:sz w:val="24"/>
          <w:szCs w:val="24"/>
          <w:lang w:eastAsia="tr-TR"/>
        </w:rPr>
        <w:t xml:space="preserve"> ve merkezi yönetim bütçesine o</w:t>
      </w:r>
      <w:r w:rsidR="00991C0D" w:rsidRPr="00CB1141">
        <w:rPr>
          <w:rFonts w:eastAsia="Times New Roman"/>
          <w:b/>
          <w:color w:val="auto"/>
          <w:sz w:val="24"/>
          <w:szCs w:val="24"/>
          <w:lang w:eastAsia="tr-TR"/>
        </w:rPr>
        <w:t>ranı</w:t>
      </w:r>
      <w:bookmarkEnd w:id="6"/>
    </w:p>
    <w:p w14:paraId="3C34F04E" w14:textId="38CB7D58" w:rsidR="00991C0D" w:rsidRPr="00F2799A" w:rsidRDefault="00A44380" w:rsidP="00991C0D">
      <w:pPr>
        <w:spacing w:before="120" w:after="0" w:line="276" w:lineRule="auto"/>
        <w:ind w:left="-14"/>
        <w:jc w:val="both"/>
        <w:rPr>
          <w:rFonts w:eastAsia="Times New Roman" w:cs="Arial"/>
          <w:b/>
          <w:color w:val="FF0000"/>
          <w:sz w:val="20"/>
          <w:szCs w:val="20"/>
          <w:lang w:eastAsia="tr-TR"/>
        </w:rPr>
      </w:pPr>
      <w:r>
        <w:rPr>
          <w:noProof/>
          <w:lang w:eastAsia="tr-TR"/>
        </w:rPr>
        <w:drawing>
          <wp:inline distT="0" distB="0" distL="0" distR="0" wp14:anchorId="71945A74" wp14:editId="395526E1">
            <wp:extent cx="6372225" cy="2840990"/>
            <wp:effectExtent l="0" t="0" r="9525" b="1651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991C0D" w:rsidRPr="00553885">
        <w:rPr>
          <w:rFonts w:eastAsia="Times New Roman" w:cs="Arial"/>
          <w:b/>
          <w:color w:val="FF0000"/>
          <w:sz w:val="20"/>
          <w:szCs w:val="20"/>
          <w:lang w:eastAsia="tr-TR"/>
        </w:rPr>
        <w:t>*2009 Bazlı Yeni Milli Geli</w:t>
      </w:r>
      <w:r w:rsidR="00991C0D">
        <w:rPr>
          <w:rFonts w:eastAsia="Times New Roman" w:cs="Arial"/>
          <w:b/>
          <w:color w:val="FF0000"/>
          <w:sz w:val="20"/>
          <w:szCs w:val="20"/>
          <w:lang w:eastAsia="tr-TR"/>
        </w:rPr>
        <w:t>r Serisine Göre Hesaplanmıştır.</w:t>
      </w:r>
      <w:r w:rsidR="00991C0D" w:rsidRPr="00553885">
        <w:rPr>
          <w:rFonts w:eastAsia="Times New Roman" w:cs="Arial"/>
          <w:color w:val="000000"/>
          <w:sz w:val="24"/>
          <w:szCs w:val="24"/>
          <w:lang w:eastAsia="tr-TR"/>
        </w:rPr>
        <w:tab/>
      </w:r>
    </w:p>
    <w:p w14:paraId="55F3A38C" w14:textId="1B1065E7" w:rsidR="00991C0D" w:rsidRDefault="00991C0D" w:rsidP="00991C0D">
      <w:pPr>
        <w:spacing w:before="120" w:after="0" w:line="276" w:lineRule="auto"/>
        <w:ind w:left="-14"/>
        <w:jc w:val="both"/>
        <w:rPr>
          <w:rFonts w:eastAsia="Times New Roman" w:cs="Arial"/>
          <w:color w:val="000000"/>
          <w:sz w:val="24"/>
          <w:szCs w:val="24"/>
          <w:lang w:eastAsia="tr-TR"/>
        </w:rPr>
      </w:pPr>
      <w:r w:rsidRPr="00553885">
        <w:rPr>
          <w:rFonts w:eastAsia="Times New Roman" w:cs="Arial"/>
          <w:color w:val="000000"/>
          <w:sz w:val="24"/>
          <w:szCs w:val="24"/>
          <w:lang w:eastAsia="tr-TR"/>
        </w:rPr>
        <w:t xml:space="preserve">Tabloya göre eğitim bütçesi </w:t>
      </w:r>
      <w:r>
        <w:rPr>
          <w:rFonts w:eastAsia="Times New Roman" w:cs="Arial"/>
          <w:color w:val="000000"/>
          <w:sz w:val="24"/>
          <w:szCs w:val="24"/>
          <w:lang w:eastAsia="tr-TR"/>
        </w:rPr>
        <w:t>2016’dan buyana GSYH içerisinde ve</w:t>
      </w:r>
      <w:r w:rsidRPr="00553885">
        <w:rPr>
          <w:rFonts w:eastAsia="Times New Roman" w:cs="Arial"/>
          <w:color w:val="000000"/>
          <w:sz w:val="24"/>
          <w:szCs w:val="24"/>
          <w:lang w:eastAsia="tr-TR"/>
        </w:rPr>
        <w:t xml:space="preserve"> Merkezi Yönetim Bütçesi </w:t>
      </w:r>
      <w:r>
        <w:rPr>
          <w:rFonts w:eastAsia="Times New Roman" w:cs="Arial"/>
          <w:color w:val="000000"/>
          <w:sz w:val="24"/>
          <w:szCs w:val="24"/>
          <w:lang w:eastAsia="tr-TR"/>
        </w:rPr>
        <w:t xml:space="preserve">içerisinde azalma eğilimine girmiştir. </w:t>
      </w:r>
      <w:r w:rsidR="00A44380">
        <w:rPr>
          <w:rFonts w:eastAsia="Times New Roman" w:cs="Arial"/>
          <w:color w:val="000000"/>
          <w:sz w:val="24"/>
          <w:szCs w:val="24"/>
          <w:lang w:eastAsia="tr-TR"/>
        </w:rPr>
        <w:t>2</w:t>
      </w:r>
      <w:r w:rsidR="00CB1141">
        <w:rPr>
          <w:rFonts w:eastAsia="Times New Roman" w:cs="Arial"/>
          <w:color w:val="000000"/>
          <w:sz w:val="24"/>
          <w:szCs w:val="24"/>
          <w:lang w:eastAsia="tr-TR"/>
        </w:rPr>
        <w:t>016</w:t>
      </w:r>
      <w:r w:rsidR="00A44380">
        <w:rPr>
          <w:rFonts w:eastAsia="Times New Roman" w:cs="Arial"/>
          <w:color w:val="000000"/>
          <w:sz w:val="24"/>
          <w:szCs w:val="24"/>
          <w:lang w:eastAsia="tr-TR"/>
        </w:rPr>
        <w:t xml:space="preserve"> yılında e</w:t>
      </w:r>
      <w:r>
        <w:rPr>
          <w:rFonts w:eastAsia="Times New Roman" w:cs="Arial"/>
          <w:color w:val="000000"/>
          <w:sz w:val="24"/>
          <w:szCs w:val="24"/>
          <w:lang w:eastAsia="tr-TR"/>
        </w:rPr>
        <w:t xml:space="preserve">ğitim bütçesinin GSYH içerisindeki payı </w:t>
      </w:r>
      <w:r w:rsidR="00EB1EB4">
        <w:rPr>
          <w:rFonts w:eastAsia="Times New Roman" w:cs="Arial"/>
          <w:color w:val="000000"/>
          <w:sz w:val="24"/>
          <w:szCs w:val="24"/>
          <w:lang w:eastAsia="tr-TR"/>
        </w:rPr>
        <w:t>%</w:t>
      </w:r>
      <w:r w:rsidR="00CB1141">
        <w:rPr>
          <w:rFonts w:eastAsia="Times New Roman" w:cs="Arial"/>
          <w:color w:val="000000"/>
          <w:sz w:val="24"/>
          <w:szCs w:val="24"/>
          <w:lang w:eastAsia="tr-TR"/>
        </w:rPr>
        <w:t>4,21</w:t>
      </w:r>
      <w:r w:rsidR="00EB1EB4">
        <w:rPr>
          <w:rFonts w:eastAsia="Times New Roman" w:cs="Arial"/>
          <w:color w:val="000000"/>
          <w:sz w:val="24"/>
          <w:szCs w:val="24"/>
          <w:lang w:eastAsia="tr-TR"/>
        </w:rPr>
        <w:t xml:space="preserve"> iken 2023 yılında bu oran %3,48 olmuştur.</w:t>
      </w:r>
      <w:r>
        <w:rPr>
          <w:rFonts w:eastAsia="Times New Roman" w:cs="Arial"/>
          <w:color w:val="000000"/>
          <w:sz w:val="24"/>
          <w:szCs w:val="24"/>
          <w:lang w:eastAsia="tr-TR"/>
        </w:rPr>
        <w:t xml:space="preserve"> 2016 yılında merkezi yönetim bütçesinden eğitime %19,24 oranında pay ayrılırken bu oran 2023’</w:t>
      </w:r>
      <w:r w:rsidR="00EB1EB4">
        <w:rPr>
          <w:rFonts w:eastAsia="Times New Roman" w:cs="Arial"/>
          <w:color w:val="000000"/>
          <w:sz w:val="24"/>
          <w:szCs w:val="24"/>
          <w:lang w:eastAsia="tr-TR"/>
        </w:rPr>
        <w:t>te %14,53</w:t>
      </w:r>
      <w:r>
        <w:rPr>
          <w:rFonts w:eastAsia="Times New Roman" w:cs="Arial"/>
          <w:color w:val="000000"/>
          <w:sz w:val="24"/>
          <w:szCs w:val="24"/>
          <w:lang w:eastAsia="tr-TR"/>
        </w:rPr>
        <w:t>’e gerilemiştir. Bu veriler eğitime ayrılan bütçenin sürekli azalma eğiliminde olduğunu ortaya koymaktadır.</w:t>
      </w:r>
      <w:r w:rsidR="00CB1141">
        <w:rPr>
          <w:rFonts w:eastAsia="Times New Roman" w:cs="Arial"/>
          <w:color w:val="000000"/>
          <w:sz w:val="24"/>
          <w:szCs w:val="24"/>
          <w:lang w:eastAsia="tr-TR"/>
        </w:rPr>
        <w:t xml:space="preserve"> Eğitime ayrılan pay 4+4+4 eğitim modeli</w:t>
      </w:r>
      <w:r w:rsidR="004762D0">
        <w:rPr>
          <w:rFonts w:eastAsia="Times New Roman" w:cs="Arial"/>
          <w:color w:val="000000"/>
          <w:sz w:val="24"/>
          <w:szCs w:val="24"/>
          <w:lang w:eastAsia="tr-TR"/>
        </w:rPr>
        <w:t xml:space="preserve"> öncesinin gerisinde kalmıştır.</w:t>
      </w:r>
      <w:r w:rsidR="00CB1141">
        <w:rPr>
          <w:rFonts w:eastAsia="Times New Roman" w:cs="Arial"/>
          <w:color w:val="000000"/>
          <w:sz w:val="24"/>
          <w:szCs w:val="24"/>
          <w:lang w:eastAsia="tr-TR"/>
        </w:rPr>
        <w:t xml:space="preserve"> </w:t>
      </w:r>
    </w:p>
    <w:p w14:paraId="7ED60913" w14:textId="77777777" w:rsidR="00991C0D" w:rsidRDefault="00991C0D" w:rsidP="00991C0D">
      <w:pPr>
        <w:spacing w:after="0"/>
        <w:jc w:val="center"/>
        <w:rPr>
          <w:b/>
          <w:sz w:val="24"/>
          <w:szCs w:val="24"/>
        </w:rPr>
      </w:pPr>
    </w:p>
    <w:p w14:paraId="40E57918" w14:textId="77777777" w:rsidR="000E6D81" w:rsidRDefault="000E6D81" w:rsidP="00991C0D">
      <w:pPr>
        <w:spacing w:before="120" w:after="0" w:line="276" w:lineRule="auto"/>
        <w:ind w:left="-14"/>
        <w:jc w:val="both"/>
        <w:rPr>
          <w:rFonts w:eastAsia="Times New Roman" w:cs="Arial"/>
          <w:b/>
          <w:color w:val="000000"/>
          <w:sz w:val="24"/>
          <w:szCs w:val="24"/>
          <w:lang w:eastAsia="tr-TR"/>
        </w:rPr>
      </w:pPr>
    </w:p>
    <w:p w14:paraId="3E636EC0" w14:textId="77777777" w:rsidR="000E6D81" w:rsidRDefault="000E6D81" w:rsidP="00991C0D">
      <w:pPr>
        <w:spacing w:before="120" w:after="0" w:line="276" w:lineRule="auto"/>
        <w:ind w:left="-14"/>
        <w:jc w:val="both"/>
        <w:rPr>
          <w:rFonts w:eastAsia="Times New Roman" w:cs="Arial"/>
          <w:b/>
          <w:color w:val="000000"/>
          <w:sz w:val="24"/>
          <w:szCs w:val="24"/>
          <w:lang w:eastAsia="tr-TR"/>
        </w:rPr>
      </w:pPr>
    </w:p>
    <w:p w14:paraId="079C9E36" w14:textId="77777777" w:rsidR="000E6D81" w:rsidRDefault="000E6D81" w:rsidP="00991C0D">
      <w:pPr>
        <w:spacing w:before="120" w:after="0" w:line="276" w:lineRule="auto"/>
        <w:ind w:left="-14"/>
        <w:jc w:val="both"/>
        <w:rPr>
          <w:rFonts w:eastAsia="Times New Roman" w:cs="Arial"/>
          <w:b/>
          <w:color w:val="000000"/>
          <w:sz w:val="24"/>
          <w:szCs w:val="24"/>
          <w:lang w:eastAsia="tr-TR"/>
        </w:rPr>
      </w:pPr>
    </w:p>
    <w:p w14:paraId="1E6E24A8" w14:textId="77777777" w:rsidR="000E6D81" w:rsidRDefault="000E6D81" w:rsidP="00991C0D">
      <w:pPr>
        <w:spacing w:before="120" w:after="0" w:line="276" w:lineRule="auto"/>
        <w:ind w:left="-14"/>
        <w:jc w:val="both"/>
        <w:rPr>
          <w:rFonts w:eastAsia="Times New Roman" w:cs="Arial"/>
          <w:b/>
          <w:color w:val="000000"/>
          <w:sz w:val="24"/>
          <w:szCs w:val="24"/>
          <w:lang w:eastAsia="tr-TR"/>
        </w:rPr>
      </w:pPr>
    </w:p>
    <w:p w14:paraId="02810CDD" w14:textId="77777777" w:rsidR="000E6D81" w:rsidRDefault="000E6D81" w:rsidP="00991C0D">
      <w:pPr>
        <w:spacing w:before="120" w:after="0" w:line="276" w:lineRule="auto"/>
        <w:ind w:left="-14"/>
        <w:jc w:val="both"/>
        <w:rPr>
          <w:rFonts w:eastAsia="Times New Roman" w:cs="Arial"/>
          <w:b/>
          <w:color w:val="000000"/>
          <w:sz w:val="24"/>
          <w:szCs w:val="24"/>
          <w:lang w:eastAsia="tr-TR"/>
        </w:rPr>
      </w:pPr>
    </w:p>
    <w:p w14:paraId="2BD726DE" w14:textId="77777777" w:rsidR="000E6D81" w:rsidRDefault="000E6D81" w:rsidP="00991C0D">
      <w:pPr>
        <w:spacing w:before="120" w:after="0" w:line="276" w:lineRule="auto"/>
        <w:ind w:left="-14"/>
        <w:jc w:val="both"/>
        <w:rPr>
          <w:rFonts w:eastAsia="Times New Roman" w:cs="Arial"/>
          <w:b/>
          <w:color w:val="000000"/>
          <w:sz w:val="24"/>
          <w:szCs w:val="24"/>
          <w:lang w:eastAsia="tr-TR"/>
        </w:rPr>
      </w:pPr>
    </w:p>
    <w:p w14:paraId="77FAEF69" w14:textId="77777777" w:rsidR="000E6D81" w:rsidRDefault="000E6D81" w:rsidP="00991C0D">
      <w:pPr>
        <w:spacing w:before="120" w:after="0" w:line="276" w:lineRule="auto"/>
        <w:ind w:left="-14"/>
        <w:jc w:val="both"/>
        <w:rPr>
          <w:rFonts w:eastAsia="Times New Roman" w:cs="Arial"/>
          <w:b/>
          <w:color w:val="000000"/>
          <w:sz w:val="24"/>
          <w:szCs w:val="24"/>
          <w:lang w:eastAsia="tr-TR"/>
        </w:rPr>
      </w:pPr>
    </w:p>
    <w:p w14:paraId="70BF7B0A" w14:textId="77777777" w:rsidR="000E6D81" w:rsidRDefault="000E6D81" w:rsidP="00991C0D">
      <w:pPr>
        <w:spacing w:before="120" w:after="0" w:line="276" w:lineRule="auto"/>
        <w:ind w:left="-14"/>
        <w:jc w:val="both"/>
        <w:rPr>
          <w:rFonts w:eastAsia="Times New Roman" w:cs="Arial"/>
          <w:b/>
          <w:color w:val="000000"/>
          <w:sz w:val="24"/>
          <w:szCs w:val="24"/>
          <w:lang w:eastAsia="tr-TR"/>
        </w:rPr>
      </w:pPr>
    </w:p>
    <w:p w14:paraId="7CE01E0C" w14:textId="77777777" w:rsidR="000E6D81" w:rsidRDefault="000E6D81" w:rsidP="00991C0D">
      <w:pPr>
        <w:spacing w:before="120" w:after="0" w:line="276" w:lineRule="auto"/>
        <w:ind w:left="-14"/>
        <w:jc w:val="both"/>
        <w:rPr>
          <w:rFonts w:eastAsia="Times New Roman" w:cs="Arial"/>
          <w:b/>
          <w:color w:val="000000"/>
          <w:sz w:val="24"/>
          <w:szCs w:val="24"/>
          <w:lang w:eastAsia="tr-TR"/>
        </w:rPr>
      </w:pPr>
    </w:p>
    <w:p w14:paraId="59544742" w14:textId="77777777" w:rsidR="00A44380" w:rsidRDefault="00A44380" w:rsidP="00991C0D">
      <w:pPr>
        <w:spacing w:before="120" w:after="0" w:line="276" w:lineRule="auto"/>
        <w:ind w:left="-14"/>
        <w:jc w:val="both"/>
        <w:rPr>
          <w:rFonts w:eastAsia="Times New Roman" w:cs="Arial"/>
          <w:b/>
          <w:color w:val="000000"/>
          <w:sz w:val="24"/>
          <w:szCs w:val="24"/>
          <w:lang w:eastAsia="tr-TR"/>
        </w:rPr>
      </w:pPr>
    </w:p>
    <w:p w14:paraId="113EA178" w14:textId="77777777" w:rsidR="00A44380" w:rsidRDefault="00A44380" w:rsidP="00991C0D">
      <w:pPr>
        <w:spacing w:before="120" w:after="0" w:line="276" w:lineRule="auto"/>
        <w:ind w:left="-14"/>
        <w:jc w:val="both"/>
        <w:rPr>
          <w:rFonts w:eastAsia="Times New Roman" w:cs="Arial"/>
          <w:b/>
          <w:color w:val="000000"/>
          <w:sz w:val="24"/>
          <w:szCs w:val="24"/>
          <w:lang w:eastAsia="tr-TR"/>
        </w:rPr>
      </w:pPr>
    </w:p>
    <w:p w14:paraId="3CEDB675" w14:textId="77777777" w:rsidR="000E6D81" w:rsidRDefault="000E6D81" w:rsidP="00991C0D">
      <w:pPr>
        <w:spacing w:before="120" w:after="0" w:line="276" w:lineRule="auto"/>
        <w:ind w:left="-14"/>
        <w:jc w:val="both"/>
        <w:rPr>
          <w:rFonts w:eastAsia="Times New Roman" w:cs="Arial"/>
          <w:b/>
          <w:color w:val="000000"/>
          <w:sz w:val="24"/>
          <w:szCs w:val="24"/>
          <w:lang w:eastAsia="tr-TR"/>
        </w:rPr>
      </w:pPr>
    </w:p>
    <w:p w14:paraId="720EF17A" w14:textId="77777777" w:rsidR="00991C0D" w:rsidRPr="004762D0" w:rsidRDefault="00991C0D" w:rsidP="00702E1A">
      <w:pPr>
        <w:pStyle w:val="Balk1"/>
        <w:jc w:val="both"/>
        <w:rPr>
          <w:rFonts w:eastAsia="Times New Roman"/>
          <w:b/>
          <w:color w:val="auto"/>
          <w:sz w:val="24"/>
          <w:szCs w:val="24"/>
          <w:lang w:eastAsia="tr-TR"/>
        </w:rPr>
      </w:pPr>
      <w:bookmarkStart w:id="7" w:name="_Toc117423413"/>
      <w:r w:rsidRPr="004762D0">
        <w:rPr>
          <w:rFonts w:eastAsia="Times New Roman"/>
          <w:b/>
          <w:color w:val="auto"/>
          <w:sz w:val="24"/>
          <w:szCs w:val="24"/>
          <w:lang w:eastAsia="tr-TR"/>
        </w:rPr>
        <w:t>Grafik 2.MEB bütçelerinin merkezi yönetim bütçesi içindeki payı ve GSYH’ye oranı.</w:t>
      </w:r>
      <w:bookmarkEnd w:id="7"/>
    </w:p>
    <w:p w14:paraId="4252C6B0" w14:textId="16757987" w:rsidR="00991C0D" w:rsidRDefault="0072347A" w:rsidP="00991C0D">
      <w:pPr>
        <w:spacing w:before="120" w:after="0" w:line="276" w:lineRule="auto"/>
        <w:ind w:left="-14"/>
        <w:jc w:val="both"/>
        <w:rPr>
          <w:rFonts w:eastAsia="Times New Roman" w:cs="Arial"/>
          <w:color w:val="000000"/>
          <w:sz w:val="24"/>
          <w:szCs w:val="24"/>
          <w:lang w:eastAsia="tr-TR"/>
        </w:rPr>
      </w:pPr>
      <w:r>
        <w:rPr>
          <w:noProof/>
          <w:lang w:eastAsia="tr-TR"/>
        </w:rPr>
        <w:drawing>
          <wp:inline distT="0" distB="0" distL="0" distR="0" wp14:anchorId="33C3DB47" wp14:editId="24943F05">
            <wp:extent cx="6410325" cy="3124200"/>
            <wp:effectExtent l="0" t="0" r="9525"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9D2108" w14:textId="77777777" w:rsidR="00991C0D" w:rsidRDefault="00991C0D" w:rsidP="00991C0D">
      <w:pPr>
        <w:spacing w:before="120" w:after="0" w:line="276" w:lineRule="auto"/>
        <w:ind w:left="-14"/>
        <w:jc w:val="both"/>
        <w:rPr>
          <w:rFonts w:eastAsia="Times New Roman" w:cs="Arial"/>
          <w:color w:val="000000"/>
          <w:sz w:val="24"/>
          <w:szCs w:val="24"/>
          <w:lang w:eastAsia="tr-TR"/>
        </w:rPr>
      </w:pPr>
    </w:p>
    <w:p w14:paraId="33091A9B" w14:textId="39273476" w:rsidR="00991C0D" w:rsidRDefault="00991C0D" w:rsidP="00991C0D">
      <w:pPr>
        <w:spacing w:before="120" w:after="0" w:line="276" w:lineRule="auto"/>
        <w:ind w:left="-14"/>
        <w:jc w:val="both"/>
        <w:rPr>
          <w:rFonts w:eastAsia="Times New Roman" w:cs="Arial"/>
          <w:color w:val="000000"/>
          <w:sz w:val="24"/>
          <w:szCs w:val="24"/>
          <w:lang w:eastAsia="tr-TR"/>
        </w:rPr>
      </w:pPr>
      <w:r>
        <w:rPr>
          <w:rFonts w:eastAsia="Times New Roman" w:cs="Arial"/>
          <w:color w:val="000000"/>
          <w:sz w:val="24"/>
          <w:szCs w:val="24"/>
          <w:lang w:eastAsia="tr-TR"/>
        </w:rPr>
        <w:t>MEB bütçesini objektif olarak değerlendirmek için Merkezi Yönetim Bütçesi ve GSYH içerisindeki payına bakmak gerekmektedir. 2016 yılından buyana MEB bütçesinin merkezi yönetim bütçesi içerisindeki payı azalmıştır. 2016 yılında MEB’in payı %13,38 iken 2023 yılında b</w:t>
      </w:r>
      <w:r w:rsidR="0072347A">
        <w:rPr>
          <w:rFonts w:eastAsia="Times New Roman" w:cs="Arial"/>
          <w:color w:val="000000"/>
          <w:sz w:val="24"/>
          <w:szCs w:val="24"/>
          <w:lang w:eastAsia="tr-TR"/>
        </w:rPr>
        <w:t>u oran %9,74</w:t>
      </w:r>
      <w:r>
        <w:rPr>
          <w:rFonts w:eastAsia="Times New Roman" w:cs="Arial"/>
          <w:color w:val="000000"/>
          <w:sz w:val="24"/>
          <w:szCs w:val="24"/>
          <w:lang w:eastAsia="tr-TR"/>
        </w:rPr>
        <w:t>’e gerilemiştir. Aynı şekilde 2016 yılında MEB bütçesinin GSYH’ye oranı %2,93’iken 2023 yılında bu oran %2,33’e gerilemiştir.</w:t>
      </w:r>
    </w:p>
    <w:p w14:paraId="7F4E78F5" w14:textId="77777777" w:rsidR="00991C0D" w:rsidRDefault="00991C0D" w:rsidP="00991C0D">
      <w:pPr>
        <w:spacing w:before="120" w:after="0" w:line="276" w:lineRule="auto"/>
        <w:ind w:left="-14"/>
        <w:jc w:val="both"/>
        <w:rPr>
          <w:rFonts w:eastAsia="Times New Roman" w:cs="Arial"/>
          <w:color w:val="000000"/>
          <w:sz w:val="24"/>
          <w:szCs w:val="24"/>
          <w:lang w:eastAsia="tr-TR"/>
        </w:rPr>
      </w:pPr>
    </w:p>
    <w:p w14:paraId="7CA3C77A" w14:textId="77777777" w:rsidR="00991C0D" w:rsidRDefault="00991C0D" w:rsidP="00082C97">
      <w:pPr>
        <w:spacing w:after="0"/>
        <w:rPr>
          <w:b/>
        </w:rPr>
      </w:pPr>
    </w:p>
    <w:p w14:paraId="3228812B" w14:textId="77777777" w:rsidR="00991C0D" w:rsidRDefault="00991C0D" w:rsidP="00082C97">
      <w:pPr>
        <w:spacing w:after="0"/>
        <w:rPr>
          <w:b/>
        </w:rPr>
      </w:pPr>
    </w:p>
    <w:p w14:paraId="5F7DD60E" w14:textId="77777777" w:rsidR="00991C0D" w:rsidRDefault="00991C0D" w:rsidP="00082C97">
      <w:pPr>
        <w:spacing w:after="0"/>
        <w:rPr>
          <w:b/>
        </w:rPr>
      </w:pPr>
    </w:p>
    <w:p w14:paraId="7989C022" w14:textId="77777777" w:rsidR="00991C0D" w:rsidRDefault="00991C0D" w:rsidP="00082C97">
      <w:pPr>
        <w:spacing w:after="0"/>
        <w:rPr>
          <w:b/>
        </w:rPr>
      </w:pPr>
    </w:p>
    <w:p w14:paraId="349CCB84" w14:textId="77777777" w:rsidR="00991C0D" w:rsidRDefault="00991C0D" w:rsidP="00082C97">
      <w:pPr>
        <w:spacing w:after="0"/>
        <w:rPr>
          <w:b/>
        </w:rPr>
      </w:pPr>
    </w:p>
    <w:p w14:paraId="7E3867D5" w14:textId="77777777" w:rsidR="00991C0D" w:rsidRDefault="00991C0D" w:rsidP="00082C97">
      <w:pPr>
        <w:spacing w:after="0"/>
        <w:rPr>
          <w:b/>
        </w:rPr>
      </w:pPr>
    </w:p>
    <w:p w14:paraId="54F45143" w14:textId="77777777" w:rsidR="00991C0D" w:rsidRDefault="00991C0D" w:rsidP="00082C97">
      <w:pPr>
        <w:spacing w:after="0"/>
        <w:rPr>
          <w:b/>
        </w:rPr>
      </w:pPr>
    </w:p>
    <w:p w14:paraId="3BDE4CFC" w14:textId="77777777" w:rsidR="00991C0D" w:rsidRDefault="00991C0D" w:rsidP="00082C97">
      <w:pPr>
        <w:spacing w:after="0"/>
        <w:rPr>
          <w:b/>
        </w:rPr>
      </w:pPr>
    </w:p>
    <w:p w14:paraId="5A3C2AA0" w14:textId="77777777" w:rsidR="00991C0D" w:rsidRDefault="00991C0D" w:rsidP="00082C97">
      <w:pPr>
        <w:spacing w:after="0"/>
        <w:rPr>
          <w:b/>
        </w:rPr>
      </w:pPr>
    </w:p>
    <w:p w14:paraId="513C161D" w14:textId="77777777" w:rsidR="00991C0D" w:rsidRDefault="00991C0D" w:rsidP="00082C97">
      <w:pPr>
        <w:spacing w:after="0"/>
        <w:rPr>
          <w:b/>
        </w:rPr>
      </w:pPr>
    </w:p>
    <w:p w14:paraId="09293626" w14:textId="77777777" w:rsidR="00991C0D" w:rsidRDefault="00991C0D" w:rsidP="00082C97">
      <w:pPr>
        <w:spacing w:after="0"/>
        <w:rPr>
          <w:b/>
        </w:rPr>
      </w:pPr>
    </w:p>
    <w:p w14:paraId="79687B44" w14:textId="77777777" w:rsidR="00991C0D" w:rsidRDefault="00991C0D" w:rsidP="00082C97">
      <w:pPr>
        <w:spacing w:after="0"/>
        <w:rPr>
          <w:b/>
        </w:rPr>
      </w:pPr>
    </w:p>
    <w:p w14:paraId="384DDEC8" w14:textId="77777777" w:rsidR="00991C0D" w:rsidRDefault="00991C0D" w:rsidP="00082C97">
      <w:pPr>
        <w:spacing w:after="0"/>
        <w:rPr>
          <w:b/>
        </w:rPr>
      </w:pPr>
    </w:p>
    <w:p w14:paraId="1E687AE5" w14:textId="77777777" w:rsidR="00991C0D" w:rsidRDefault="00991C0D" w:rsidP="00082C97">
      <w:pPr>
        <w:spacing w:after="0"/>
        <w:rPr>
          <w:b/>
        </w:rPr>
      </w:pPr>
    </w:p>
    <w:p w14:paraId="293F6DAC" w14:textId="77777777" w:rsidR="00991C0D" w:rsidRDefault="00991C0D" w:rsidP="00082C97">
      <w:pPr>
        <w:spacing w:after="0"/>
        <w:rPr>
          <w:b/>
        </w:rPr>
      </w:pPr>
    </w:p>
    <w:p w14:paraId="0D0EFA98" w14:textId="77777777" w:rsidR="00991C0D" w:rsidRDefault="00991C0D" w:rsidP="00082C97">
      <w:pPr>
        <w:spacing w:after="0"/>
        <w:rPr>
          <w:b/>
        </w:rPr>
      </w:pPr>
    </w:p>
    <w:p w14:paraId="7F062B4F" w14:textId="77777777" w:rsidR="003D31C9" w:rsidRDefault="003D31C9" w:rsidP="00082C97">
      <w:pPr>
        <w:spacing w:after="0"/>
        <w:rPr>
          <w:b/>
        </w:rPr>
      </w:pPr>
    </w:p>
    <w:p w14:paraId="018E8C2F" w14:textId="02ADB0E2" w:rsidR="00082C97" w:rsidRPr="004762D0" w:rsidRDefault="000E6D81" w:rsidP="00702E1A">
      <w:pPr>
        <w:pStyle w:val="Balk1"/>
        <w:rPr>
          <w:b/>
          <w:color w:val="auto"/>
          <w:sz w:val="24"/>
          <w:szCs w:val="24"/>
        </w:rPr>
      </w:pPr>
      <w:bookmarkStart w:id="8" w:name="_Toc117423414"/>
      <w:r w:rsidRPr="004762D0">
        <w:rPr>
          <w:b/>
          <w:color w:val="auto"/>
          <w:sz w:val="24"/>
          <w:szCs w:val="24"/>
        </w:rPr>
        <w:t>Grafik 3</w:t>
      </w:r>
      <w:r w:rsidR="00AA69D8" w:rsidRPr="004762D0">
        <w:rPr>
          <w:b/>
          <w:color w:val="auto"/>
          <w:sz w:val="24"/>
          <w:szCs w:val="24"/>
        </w:rPr>
        <w:t xml:space="preserve">. MEB bütçesinin </w:t>
      </w:r>
      <w:r w:rsidR="004762D0">
        <w:rPr>
          <w:b/>
          <w:color w:val="auto"/>
          <w:sz w:val="24"/>
          <w:szCs w:val="24"/>
        </w:rPr>
        <w:t>ekonomik sınıflandırılması.</w:t>
      </w:r>
      <w:bookmarkEnd w:id="8"/>
    </w:p>
    <w:p w14:paraId="5564DE00" w14:textId="3ACA050B" w:rsidR="005A0A7E" w:rsidRDefault="00082C97" w:rsidP="00741C61">
      <w:pPr>
        <w:spacing w:before="120" w:after="0" w:line="276" w:lineRule="auto"/>
        <w:ind w:left="-14"/>
        <w:jc w:val="both"/>
        <w:rPr>
          <w:rFonts w:eastAsia="Times New Roman" w:cs="Arial"/>
          <w:color w:val="000000"/>
          <w:sz w:val="24"/>
          <w:szCs w:val="24"/>
          <w:lang w:eastAsia="tr-TR"/>
        </w:rPr>
      </w:pPr>
      <w:r>
        <w:rPr>
          <w:noProof/>
          <w:lang w:eastAsia="tr-TR"/>
        </w:rPr>
        <w:drawing>
          <wp:inline distT="0" distB="0" distL="0" distR="0" wp14:anchorId="73303AA7" wp14:editId="087DD887">
            <wp:extent cx="6086475" cy="3190875"/>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A59379" w14:textId="77777777" w:rsidR="005A0A7E" w:rsidRDefault="005A0A7E" w:rsidP="00741C61">
      <w:pPr>
        <w:spacing w:before="120" w:after="0" w:line="276" w:lineRule="auto"/>
        <w:ind w:left="-14"/>
        <w:jc w:val="both"/>
        <w:rPr>
          <w:rFonts w:eastAsia="Times New Roman" w:cs="Arial"/>
          <w:color w:val="000000"/>
          <w:sz w:val="24"/>
          <w:szCs w:val="24"/>
          <w:lang w:eastAsia="tr-TR"/>
        </w:rPr>
      </w:pPr>
    </w:p>
    <w:p w14:paraId="44D786AD" w14:textId="77777777" w:rsidR="00082C97" w:rsidRPr="00082C97" w:rsidRDefault="00082C97" w:rsidP="00082C97">
      <w:pPr>
        <w:spacing w:before="120" w:after="0" w:line="276" w:lineRule="auto"/>
        <w:ind w:left="-14"/>
        <w:jc w:val="both"/>
        <w:rPr>
          <w:rFonts w:eastAsia="Times New Roman" w:cs="Arial"/>
          <w:b/>
          <w:color w:val="000000"/>
          <w:sz w:val="24"/>
          <w:szCs w:val="24"/>
          <w:lang w:eastAsia="tr-TR"/>
        </w:rPr>
      </w:pPr>
      <w:r w:rsidRPr="00082C97">
        <w:rPr>
          <w:rFonts w:eastAsia="Times New Roman" w:cs="Arial"/>
          <w:b/>
          <w:color w:val="000000"/>
          <w:sz w:val="24"/>
          <w:szCs w:val="24"/>
          <w:lang w:eastAsia="tr-TR"/>
        </w:rPr>
        <w:t>2023 yılı MEB bütçesinin;</w:t>
      </w:r>
    </w:p>
    <w:p w14:paraId="1B566567" w14:textId="77777777" w:rsidR="00082C97" w:rsidRPr="00741C61" w:rsidRDefault="00082C97" w:rsidP="00082C97">
      <w:pPr>
        <w:spacing w:before="120" w:after="0" w:line="276" w:lineRule="auto"/>
        <w:ind w:left="-14"/>
        <w:jc w:val="both"/>
        <w:rPr>
          <w:rFonts w:eastAsia="Times New Roman" w:cs="Arial"/>
          <w:color w:val="000000"/>
          <w:sz w:val="24"/>
          <w:szCs w:val="24"/>
          <w:lang w:eastAsia="tr-TR"/>
        </w:rPr>
      </w:pPr>
      <w:r>
        <w:rPr>
          <w:rFonts w:eastAsia="Times New Roman" w:cs="Arial"/>
          <w:color w:val="000000"/>
          <w:sz w:val="24"/>
          <w:szCs w:val="24"/>
          <w:lang w:eastAsia="tr-TR"/>
        </w:rPr>
        <w:t>%68,31’i</w:t>
      </w:r>
      <w:r w:rsidRPr="00741C61">
        <w:rPr>
          <w:rFonts w:eastAsia="Times New Roman" w:cs="Arial"/>
          <w:color w:val="000000"/>
          <w:sz w:val="24"/>
          <w:szCs w:val="24"/>
          <w:lang w:eastAsia="tr-TR"/>
        </w:rPr>
        <w:t xml:space="preserve"> personel giderlerine,</w:t>
      </w:r>
      <w:r>
        <w:rPr>
          <w:rFonts w:eastAsia="Times New Roman" w:cs="Arial"/>
          <w:color w:val="000000"/>
          <w:sz w:val="24"/>
          <w:szCs w:val="24"/>
          <w:lang w:eastAsia="tr-TR"/>
        </w:rPr>
        <w:t xml:space="preserve"> %10,37’si sosyal güvenlik kurumu devlet </w:t>
      </w:r>
      <w:r w:rsidRPr="00741C61">
        <w:rPr>
          <w:rFonts w:eastAsia="Times New Roman" w:cs="Arial"/>
          <w:color w:val="000000"/>
          <w:sz w:val="24"/>
          <w:szCs w:val="24"/>
          <w:lang w:eastAsia="tr-TR"/>
        </w:rPr>
        <w:t>primi giderlerine,</w:t>
      </w:r>
      <w:r>
        <w:rPr>
          <w:rFonts w:eastAsia="Times New Roman" w:cs="Arial"/>
          <w:color w:val="000000"/>
          <w:sz w:val="24"/>
          <w:szCs w:val="24"/>
          <w:lang w:eastAsia="tr-TR"/>
        </w:rPr>
        <w:t xml:space="preserve"> %8,95’i</w:t>
      </w:r>
      <w:r w:rsidRPr="00741C61">
        <w:rPr>
          <w:rFonts w:eastAsia="Times New Roman" w:cs="Arial"/>
          <w:color w:val="000000"/>
          <w:sz w:val="24"/>
          <w:szCs w:val="24"/>
          <w:lang w:eastAsia="tr-TR"/>
        </w:rPr>
        <w:t xml:space="preserve"> </w:t>
      </w:r>
      <w:r>
        <w:rPr>
          <w:rFonts w:eastAsia="Times New Roman" w:cs="Arial"/>
          <w:color w:val="000000"/>
          <w:sz w:val="24"/>
          <w:szCs w:val="24"/>
          <w:lang w:eastAsia="tr-TR"/>
        </w:rPr>
        <w:t>mal ve hizmet alım giderlerine, %9,17’si’ sermaye giderlerine, %3,1’i cari transferlere, %0,1’i</w:t>
      </w:r>
      <w:r w:rsidRPr="00741C61">
        <w:rPr>
          <w:rFonts w:eastAsia="Times New Roman" w:cs="Arial"/>
          <w:color w:val="000000"/>
          <w:sz w:val="24"/>
          <w:szCs w:val="24"/>
          <w:lang w:eastAsia="tr-TR"/>
        </w:rPr>
        <w:t xml:space="preserve"> ise sermaye transferlerine</w:t>
      </w:r>
      <w:r>
        <w:rPr>
          <w:rFonts w:eastAsia="Times New Roman" w:cs="Arial"/>
          <w:color w:val="000000"/>
          <w:sz w:val="24"/>
          <w:szCs w:val="24"/>
          <w:lang w:eastAsia="tr-TR"/>
        </w:rPr>
        <w:t xml:space="preserve"> </w:t>
      </w:r>
      <w:r w:rsidRPr="00741C61">
        <w:rPr>
          <w:rFonts w:eastAsia="Times New Roman" w:cs="Arial"/>
          <w:color w:val="000000"/>
          <w:sz w:val="24"/>
          <w:szCs w:val="24"/>
          <w:lang w:eastAsia="tr-TR"/>
        </w:rPr>
        <w:t>ayrılmıştır.</w:t>
      </w:r>
    </w:p>
    <w:p w14:paraId="3579A905" w14:textId="0D539778" w:rsidR="00082C97" w:rsidRPr="00082C97" w:rsidRDefault="00082C97" w:rsidP="00082C97">
      <w:pPr>
        <w:spacing w:before="120" w:after="0" w:line="276" w:lineRule="auto"/>
        <w:jc w:val="both"/>
        <w:rPr>
          <w:rFonts w:eastAsia="Times New Roman" w:cs="Arial"/>
          <w:b/>
          <w:color w:val="000000"/>
          <w:sz w:val="24"/>
          <w:szCs w:val="24"/>
          <w:lang w:eastAsia="tr-TR"/>
        </w:rPr>
      </w:pPr>
      <w:r w:rsidRPr="007E2AA0">
        <w:rPr>
          <w:rFonts w:eastAsia="Times New Roman" w:cs="Arial"/>
          <w:color w:val="000000"/>
          <w:sz w:val="24"/>
          <w:szCs w:val="24"/>
          <w:lang w:eastAsia="tr-TR"/>
        </w:rPr>
        <w:t>Eğitim bütçesi yıllar içinde rakamsal olarak artıyor gibi görünse de pe</w:t>
      </w:r>
      <w:r>
        <w:rPr>
          <w:rFonts w:eastAsia="Times New Roman" w:cs="Arial"/>
          <w:color w:val="000000"/>
          <w:sz w:val="24"/>
          <w:szCs w:val="24"/>
          <w:lang w:eastAsia="tr-TR"/>
        </w:rPr>
        <w:t>rsonel ve SGK giderlerinin bütçenin %79’unu</w:t>
      </w:r>
      <w:r w:rsidRPr="007E2AA0">
        <w:rPr>
          <w:rFonts w:eastAsia="Times New Roman" w:cs="Arial"/>
          <w:color w:val="000000"/>
          <w:sz w:val="24"/>
          <w:szCs w:val="24"/>
          <w:lang w:eastAsia="tr-TR"/>
        </w:rPr>
        <w:t xml:space="preserve"> kapsaması, eşit eğitim imkânına erişmeyi engelleyecek önemli bir faktör olarak ortaya çıkmaktadır. </w:t>
      </w:r>
      <w:r w:rsidRPr="00315088">
        <w:rPr>
          <w:rFonts w:eastAsia="Times New Roman" w:cs="Arial"/>
          <w:color w:val="000000"/>
          <w:sz w:val="24"/>
          <w:szCs w:val="24"/>
          <w:lang w:eastAsia="tr-TR"/>
        </w:rPr>
        <w:t xml:space="preserve">İkili eğitimin sonlandırılması, okullaşma oranlarının artırılması ve eğitimin niteliğinin geliştirilmesi gibi politika ve hedeflerin gerçekleştirilmesi için daha fazla kaynak ayrılması, en azından orta vadede yatırım maliyetlerinin karşılanması açısından bir zorunluluk olarak görülmektedir. </w:t>
      </w:r>
      <w:r>
        <w:rPr>
          <w:rFonts w:eastAsia="Times New Roman" w:cs="Arial"/>
          <w:color w:val="000000"/>
          <w:sz w:val="24"/>
          <w:szCs w:val="24"/>
          <w:lang w:eastAsia="tr-TR"/>
        </w:rPr>
        <w:t>Ancak, MEB bütçesinden 2023</w:t>
      </w:r>
      <w:r w:rsidRPr="00AC62CD">
        <w:rPr>
          <w:rFonts w:eastAsia="Times New Roman" w:cs="Arial"/>
          <w:color w:val="000000"/>
          <w:sz w:val="24"/>
          <w:szCs w:val="24"/>
          <w:lang w:eastAsia="tr-TR"/>
        </w:rPr>
        <w:t xml:space="preserve"> yılında yatırıma ayrılan pay kısmen artsa da hedefleri gerçek</w:t>
      </w:r>
      <w:r>
        <w:rPr>
          <w:rFonts w:eastAsia="Times New Roman" w:cs="Arial"/>
          <w:color w:val="000000"/>
          <w:sz w:val="24"/>
          <w:szCs w:val="24"/>
          <w:lang w:eastAsia="tr-TR"/>
        </w:rPr>
        <w:t>leştirmek için yeterli olmayacağı ortadadır.</w:t>
      </w:r>
      <w:r w:rsidR="004762D0">
        <w:rPr>
          <w:rFonts w:eastAsia="Times New Roman" w:cs="Arial"/>
          <w:color w:val="000000"/>
          <w:sz w:val="24"/>
          <w:szCs w:val="24"/>
          <w:lang w:eastAsia="tr-TR"/>
        </w:rPr>
        <w:t xml:space="preserve"> </w:t>
      </w:r>
    </w:p>
    <w:p w14:paraId="594D26B5" w14:textId="77777777" w:rsidR="006812BD" w:rsidRDefault="006812BD" w:rsidP="00741C61">
      <w:pPr>
        <w:spacing w:before="120" w:after="0" w:line="276" w:lineRule="auto"/>
        <w:ind w:left="-14"/>
        <w:jc w:val="both"/>
        <w:rPr>
          <w:rFonts w:eastAsia="Times New Roman" w:cs="Arial"/>
          <w:b/>
          <w:color w:val="000000"/>
          <w:sz w:val="24"/>
          <w:szCs w:val="24"/>
          <w:lang w:eastAsia="tr-TR"/>
        </w:rPr>
      </w:pPr>
    </w:p>
    <w:p w14:paraId="7FD2DCDE" w14:textId="77777777" w:rsidR="006812BD" w:rsidRDefault="006812BD" w:rsidP="00741C61">
      <w:pPr>
        <w:spacing w:before="120" w:after="0" w:line="276" w:lineRule="auto"/>
        <w:ind w:left="-14"/>
        <w:jc w:val="both"/>
        <w:rPr>
          <w:rFonts w:eastAsia="Times New Roman" w:cs="Arial"/>
          <w:b/>
          <w:color w:val="000000"/>
          <w:sz w:val="24"/>
          <w:szCs w:val="24"/>
          <w:lang w:eastAsia="tr-TR"/>
        </w:rPr>
      </w:pPr>
    </w:p>
    <w:p w14:paraId="3463E410" w14:textId="77777777" w:rsidR="00082C97" w:rsidRDefault="00082C97" w:rsidP="00553885">
      <w:pPr>
        <w:spacing w:before="120" w:after="0" w:line="276" w:lineRule="auto"/>
        <w:ind w:left="-14"/>
        <w:jc w:val="both"/>
        <w:rPr>
          <w:rFonts w:eastAsia="Times New Roman" w:cs="Arial"/>
          <w:b/>
          <w:color w:val="000000"/>
          <w:sz w:val="16"/>
          <w:szCs w:val="16"/>
          <w:lang w:eastAsia="tr-TR"/>
        </w:rPr>
      </w:pPr>
    </w:p>
    <w:p w14:paraId="77FE016D" w14:textId="77777777" w:rsidR="00082C97" w:rsidRDefault="00082C97" w:rsidP="00553885">
      <w:pPr>
        <w:spacing w:before="120" w:after="0" w:line="276" w:lineRule="auto"/>
        <w:ind w:left="-14"/>
        <w:jc w:val="both"/>
        <w:rPr>
          <w:rFonts w:eastAsia="Times New Roman" w:cs="Arial"/>
          <w:b/>
          <w:color w:val="000000"/>
          <w:sz w:val="16"/>
          <w:szCs w:val="16"/>
          <w:lang w:eastAsia="tr-TR"/>
        </w:rPr>
      </w:pPr>
    </w:p>
    <w:p w14:paraId="2A754C66" w14:textId="77777777" w:rsidR="00082C97" w:rsidRDefault="00082C97" w:rsidP="00553885">
      <w:pPr>
        <w:spacing w:before="120" w:after="0" w:line="276" w:lineRule="auto"/>
        <w:ind w:left="-14"/>
        <w:jc w:val="both"/>
        <w:rPr>
          <w:rFonts w:eastAsia="Times New Roman" w:cs="Arial"/>
          <w:b/>
          <w:color w:val="000000"/>
          <w:sz w:val="16"/>
          <w:szCs w:val="16"/>
          <w:lang w:eastAsia="tr-TR"/>
        </w:rPr>
      </w:pPr>
    </w:p>
    <w:p w14:paraId="2BD8CC84" w14:textId="77777777" w:rsidR="00082C97" w:rsidRDefault="00082C97" w:rsidP="00553885">
      <w:pPr>
        <w:spacing w:before="120" w:after="0" w:line="276" w:lineRule="auto"/>
        <w:ind w:left="-14"/>
        <w:jc w:val="both"/>
        <w:rPr>
          <w:rFonts w:eastAsia="Times New Roman" w:cs="Arial"/>
          <w:b/>
          <w:color w:val="000000"/>
          <w:sz w:val="16"/>
          <w:szCs w:val="16"/>
          <w:lang w:eastAsia="tr-TR"/>
        </w:rPr>
      </w:pPr>
    </w:p>
    <w:p w14:paraId="5E5E9B6A" w14:textId="77777777" w:rsidR="00082C97" w:rsidRDefault="00082C97" w:rsidP="00553885">
      <w:pPr>
        <w:spacing w:before="120" w:after="0" w:line="276" w:lineRule="auto"/>
        <w:ind w:left="-14"/>
        <w:jc w:val="both"/>
        <w:rPr>
          <w:rFonts w:eastAsia="Times New Roman" w:cs="Arial"/>
          <w:b/>
          <w:color w:val="000000"/>
          <w:sz w:val="16"/>
          <w:szCs w:val="16"/>
          <w:lang w:eastAsia="tr-TR"/>
        </w:rPr>
        <w:sectPr w:rsidR="00082C97" w:rsidSect="0019339D">
          <w:footerReference w:type="default" r:id="rId13"/>
          <w:pgSz w:w="11906" w:h="16838"/>
          <w:pgMar w:top="1418" w:right="1418" w:bottom="1418" w:left="1418" w:header="709" w:footer="709" w:gutter="0"/>
          <w:pgNumType w:start="0"/>
          <w:cols w:space="708"/>
          <w:titlePg/>
          <w:docGrid w:linePitch="360"/>
        </w:sectPr>
      </w:pPr>
    </w:p>
    <w:p w14:paraId="3CAC08EA" w14:textId="773315A6" w:rsidR="00082C97" w:rsidRPr="004762D0" w:rsidRDefault="000E6D81" w:rsidP="00702E1A">
      <w:pPr>
        <w:pStyle w:val="Balk1"/>
        <w:rPr>
          <w:rFonts w:eastAsia="Times New Roman"/>
          <w:b/>
          <w:color w:val="auto"/>
          <w:sz w:val="24"/>
          <w:szCs w:val="24"/>
          <w:lang w:eastAsia="tr-TR"/>
        </w:rPr>
      </w:pPr>
      <w:bookmarkStart w:id="9" w:name="_Toc117423415"/>
      <w:r w:rsidRPr="004762D0">
        <w:rPr>
          <w:rFonts w:eastAsia="Times New Roman"/>
          <w:b/>
          <w:color w:val="auto"/>
          <w:sz w:val="24"/>
          <w:szCs w:val="24"/>
          <w:lang w:eastAsia="tr-TR"/>
        </w:rPr>
        <w:t>Grafik 4</w:t>
      </w:r>
      <w:r w:rsidR="00082C97" w:rsidRPr="004762D0">
        <w:rPr>
          <w:rFonts w:eastAsia="Times New Roman"/>
          <w:b/>
          <w:color w:val="auto"/>
          <w:sz w:val="24"/>
          <w:szCs w:val="24"/>
          <w:lang w:eastAsia="tr-TR"/>
        </w:rPr>
        <w:t xml:space="preserve">. </w:t>
      </w:r>
      <w:r w:rsidR="006812BD" w:rsidRPr="004762D0">
        <w:rPr>
          <w:rFonts w:eastAsia="Times New Roman"/>
          <w:b/>
          <w:color w:val="auto"/>
          <w:sz w:val="24"/>
          <w:szCs w:val="24"/>
          <w:lang w:eastAsia="tr-TR"/>
        </w:rPr>
        <w:t>Merkezi yönetim bütçe ödeneğinden MEB yatırımlarına ayrılan pay.</w:t>
      </w:r>
      <w:bookmarkEnd w:id="9"/>
    </w:p>
    <w:p w14:paraId="395A504A" w14:textId="52B9E269" w:rsidR="00352B67" w:rsidRDefault="000011FD" w:rsidP="00553885">
      <w:pPr>
        <w:spacing w:before="120" w:after="0" w:line="276" w:lineRule="auto"/>
        <w:ind w:left="-14"/>
        <w:jc w:val="both"/>
        <w:rPr>
          <w:rFonts w:eastAsia="Times New Roman" w:cs="Arial"/>
          <w:b/>
          <w:color w:val="000000"/>
          <w:sz w:val="16"/>
          <w:szCs w:val="16"/>
          <w:lang w:eastAsia="tr-TR"/>
        </w:rPr>
      </w:pPr>
      <w:r>
        <w:rPr>
          <w:noProof/>
          <w:lang w:eastAsia="tr-TR"/>
        </w:rPr>
        <w:drawing>
          <wp:inline distT="0" distB="0" distL="0" distR="0" wp14:anchorId="402FB42E" wp14:editId="2E18F016">
            <wp:extent cx="8891270" cy="3847465"/>
            <wp:effectExtent l="0" t="0" r="5080" b="63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1EF618" w14:textId="77777777" w:rsidR="00082C97" w:rsidRDefault="00082C97" w:rsidP="00553885">
      <w:pPr>
        <w:spacing w:before="120" w:after="0" w:line="276" w:lineRule="auto"/>
        <w:ind w:left="-14"/>
        <w:jc w:val="both"/>
        <w:rPr>
          <w:rFonts w:eastAsia="Times New Roman" w:cs="Arial"/>
          <w:b/>
          <w:color w:val="000000"/>
          <w:sz w:val="16"/>
          <w:szCs w:val="16"/>
          <w:lang w:eastAsia="tr-TR"/>
        </w:rPr>
      </w:pPr>
    </w:p>
    <w:p w14:paraId="6C70C114" w14:textId="585A6CC8" w:rsidR="00082C97" w:rsidRPr="00CB7F89" w:rsidRDefault="006812BD" w:rsidP="00CB7F89">
      <w:pPr>
        <w:spacing w:after="0"/>
        <w:jc w:val="both"/>
        <w:rPr>
          <w:sz w:val="24"/>
          <w:szCs w:val="24"/>
        </w:rPr>
        <w:sectPr w:rsidR="00082C97" w:rsidRPr="00CB7F89" w:rsidSect="00352B67">
          <w:pgSz w:w="16838" w:h="11906" w:orient="landscape"/>
          <w:pgMar w:top="1418" w:right="1418" w:bottom="1418" w:left="1418" w:header="709" w:footer="709" w:gutter="0"/>
          <w:pgNumType w:start="0"/>
          <w:cols w:space="708"/>
          <w:titlePg/>
          <w:docGrid w:linePitch="360"/>
        </w:sectPr>
      </w:pPr>
      <w:r w:rsidRPr="006812BD">
        <w:rPr>
          <w:sz w:val="24"/>
          <w:szCs w:val="24"/>
        </w:rPr>
        <w:t>Merkezi bütçe yatırım ödeneğinden MEB yatırımlarına 2002 yılında ayrıl</w:t>
      </w:r>
      <w:r>
        <w:rPr>
          <w:sz w:val="24"/>
          <w:szCs w:val="24"/>
        </w:rPr>
        <w:t>an pay %22,34 iken, bu oran 2023 yılın</w:t>
      </w:r>
      <w:r w:rsidR="000011FD">
        <w:rPr>
          <w:sz w:val="24"/>
          <w:szCs w:val="24"/>
        </w:rPr>
        <w:t>da %12,65</w:t>
      </w:r>
      <w:r>
        <w:rPr>
          <w:sz w:val="24"/>
          <w:szCs w:val="24"/>
        </w:rPr>
        <w:t xml:space="preserve"> olarak gerçekleşmiştir. Ayrıca MEB bütçesinden yatırımlara ayrılan pay 2002 yılında %17,18 iken, 2023 yılında bu oran %9,17’ye gerilemiştir. Merkezi bütçe yatırım ödeneğinden ve MEB bütçesinden yatırımlara ayrılan payın düşüş eğiliminde olması taşımalı eğitim, ikili eğitim gibi alanlardaki sorunların 2023 yılında da artarak devam edeceğini göstermekted</w:t>
      </w:r>
      <w:r w:rsidR="00702E1A">
        <w:rPr>
          <w:sz w:val="24"/>
          <w:szCs w:val="24"/>
        </w:rPr>
        <w:t>ir.</w:t>
      </w:r>
    </w:p>
    <w:p w14:paraId="627031B7" w14:textId="61803D16" w:rsidR="006B7B75" w:rsidRPr="004762D0" w:rsidRDefault="007E2AA0" w:rsidP="00702E1A">
      <w:pPr>
        <w:pStyle w:val="Balk1"/>
        <w:rPr>
          <w:b/>
          <w:color w:val="auto"/>
          <w:sz w:val="24"/>
          <w:szCs w:val="24"/>
        </w:rPr>
      </w:pPr>
      <w:bookmarkStart w:id="10" w:name="_Toc117423416"/>
      <w:r w:rsidRPr="004762D0">
        <w:rPr>
          <w:b/>
          <w:color w:val="auto"/>
          <w:sz w:val="24"/>
          <w:szCs w:val="24"/>
        </w:rPr>
        <w:t xml:space="preserve">Grafik </w:t>
      </w:r>
      <w:r w:rsidR="00991C0D" w:rsidRPr="004762D0">
        <w:rPr>
          <w:b/>
          <w:color w:val="auto"/>
          <w:sz w:val="24"/>
          <w:szCs w:val="24"/>
        </w:rPr>
        <w:t>5</w:t>
      </w:r>
      <w:r w:rsidR="00B114D0" w:rsidRPr="004762D0">
        <w:rPr>
          <w:b/>
          <w:color w:val="auto"/>
          <w:sz w:val="24"/>
          <w:szCs w:val="24"/>
        </w:rPr>
        <w:t>. MEB yatırım b</w:t>
      </w:r>
      <w:r w:rsidRPr="004762D0">
        <w:rPr>
          <w:b/>
          <w:color w:val="auto"/>
          <w:sz w:val="24"/>
          <w:szCs w:val="24"/>
        </w:rPr>
        <w:t>ütçesi</w:t>
      </w:r>
      <w:r w:rsidR="00B114D0" w:rsidRPr="004762D0">
        <w:rPr>
          <w:b/>
          <w:color w:val="auto"/>
          <w:sz w:val="24"/>
          <w:szCs w:val="24"/>
        </w:rPr>
        <w:t>.</w:t>
      </w:r>
      <w:bookmarkEnd w:id="10"/>
    </w:p>
    <w:p w14:paraId="05302B60" w14:textId="3DA024E4" w:rsidR="005D7DC0" w:rsidRDefault="005D7DC0" w:rsidP="000C0ADB">
      <w:pPr>
        <w:spacing w:after="0"/>
      </w:pPr>
    </w:p>
    <w:p w14:paraId="4661E9F8" w14:textId="58196D94" w:rsidR="00F072DA" w:rsidRDefault="00991C0D" w:rsidP="00991C0D">
      <w:pPr>
        <w:spacing w:before="120" w:after="0" w:line="276" w:lineRule="auto"/>
        <w:jc w:val="both"/>
        <w:rPr>
          <w:rFonts w:eastAsia="Times New Roman" w:cs="Arial"/>
          <w:color w:val="000000"/>
          <w:sz w:val="24"/>
          <w:szCs w:val="24"/>
          <w:lang w:eastAsia="tr-TR"/>
        </w:rPr>
      </w:pPr>
      <w:r>
        <w:rPr>
          <w:noProof/>
          <w:lang w:eastAsia="tr-TR"/>
        </w:rPr>
        <w:drawing>
          <wp:inline distT="0" distB="0" distL="0" distR="0" wp14:anchorId="628DAB18" wp14:editId="5A622885">
            <wp:extent cx="6353175" cy="2305050"/>
            <wp:effectExtent l="0" t="0" r="9525"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18EF4D" w14:textId="1B54CA0D" w:rsidR="00991C0D" w:rsidRDefault="007E2AA0" w:rsidP="00DA1D84">
      <w:pPr>
        <w:spacing w:before="120" w:after="0" w:line="276" w:lineRule="auto"/>
        <w:jc w:val="both"/>
        <w:rPr>
          <w:rFonts w:eastAsia="Times New Roman" w:cs="Arial"/>
          <w:color w:val="000000"/>
          <w:sz w:val="24"/>
          <w:szCs w:val="24"/>
          <w:lang w:eastAsia="tr-TR"/>
        </w:rPr>
      </w:pPr>
      <w:r w:rsidRPr="007E2AA0">
        <w:rPr>
          <w:rFonts w:eastAsia="Times New Roman" w:cs="Arial"/>
          <w:color w:val="000000"/>
          <w:sz w:val="24"/>
          <w:szCs w:val="24"/>
          <w:lang w:eastAsia="tr-TR"/>
        </w:rPr>
        <w:t xml:space="preserve">AKP’nin iktidara geldiği 2002 yılında MEB bütçesinden eğitim yatırımlarına ayrılan pay </w:t>
      </w:r>
      <w:r w:rsidRPr="007E2AA0">
        <w:rPr>
          <w:rFonts w:eastAsia="Times New Roman" w:cs="Arial"/>
          <w:b/>
          <w:color w:val="000000"/>
          <w:sz w:val="24"/>
          <w:szCs w:val="24"/>
          <w:lang w:eastAsia="tr-TR"/>
        </w:rPr>
        <w:t>% 17,18</w:t>
      </w:r>
      <w:r w:rsidR="00991C0D">
        <w:rPr>
          <w:rFonts w:eastAsia="Times New Roman" w:cs="Arial"/>
          <w:color w:val="000000"/>
          <w:sz w:val="24"/>
          <w:szCs w:val="24"/>
          <w:lang w:eastAsia="tr-TR"/>
        </w:rPr>
        <w:t xml:space="preserve"> iken, 2023</w:t>
      </w:r>
      <w:r w:rsidRPr="007E2AA0">
        <w:rPr>
          <w:rFonts w:eastAsia="Times New Roman" w:cs="Arial"/>
          <w:color w:val="000000"/>
          <w:sz w:val="24"/>
          <w:szCs w:val="24"/>
          <w:lang w:eastAsia="tr-TR"/>
        </w:rPr>
        <w:t xml:space="preserve"> yılı itibariyle bu oran </w:t>
      </w:r>
      <w:r w:rsidR="00991C0D">
        <w:rPr>
          <w:rFonts w:eastAsia="Times New Roman" w:cs="Arial"/>
          <w:b/>
          <w:color w:val="000000"/>
          <w:sz w:val="24"/>
          <w:szCs w:val="24"/>
          <w:lang w:eastAsia="tr-TR"/>
        </w:rPr>
        <w:t>%9,17</w:t>
      </w:r>
      <w:r w:rsidRPr="007E2AA0">
        <w:rPr>
          <w:rFonts w:eastAsia="Times New Roman" w:cs="Arial"/>
          <w:b/>
          <w:color w:val="000000"/>
          <w:sz w:val="24"/>
          <w:szCs w:val="24"/>
          <w:lang w:eastAsia="tr-TR"/>
        </w:rPr>
        <w:t>’</w:t>
      </w:r>
      <w:r w:rsidR="00991C0D">
        <w:rPr>
          <w:rFonts w:eastAsia="Times New Roman" w:cs="Arial"/>
          <w:b/>
          <w:color w:val="000000"/>
          <w:sz w:val="24"/>
          <w:szCs w:val="24"/>
          <w:lang w:eastAsia="tr-TR"/>
        </w:rPr>
        <w:t>y</w:t>
      </w:r>
      <w:r w:rsidRPr="007E2AA0">
        <w:rPr>
          <w:rFonts w:eastAsia="Times New Roman" w:cs="Arial"/>
          <w:b/>
          <w:color w:val="000000"/>
          <w:sz w:val="24"/>
          <w:szCs w:val="24"/>
          <w:lang w:eastAsia="tr-TR"/>
        </w:rPr>
        <w:t>e</w:t>
      </w:r>
      <w:r w:rsidR="0072168C">
        <w:rPr>
          <w:rFonts w:eastAsia="Times New Roman" w:cs="Arial"/>
          <w:color w:val="000000"/>
          <w:sz w:val="24"/>
          <w:szCs w:val="24"/>
          <w:lang w:eastAsia="tr-TR"/>
        </w:rPr>
        <w:t xml:space="preserve"> gerilemiş</w:t>
      </w:r>
      <w:r w:rsidR="00991C0D">
        <w:rPr>
          <w:rFonts w:eastAsia="Times New Roman" w:cs="Arial"/>
          <w:color w:val="000000"/>
          <w:sz w:val="24"/>
          <w:szCs w:val="24"/>
          <w:lang w:eastAsia="tr-TR"/>
        </w:rPr>
        <w:t>tir.</w:t>
      </w:r>
      <w:r w:rsidRPr="007E2AA0">
        <w:rPr>
          <w:rFonts w:eastAsia="Times New Roman" w:cs="Arial"/>
          <w:color w:val="000000"/>
          <w:sz w:val="24"/>
          <w:szCs w:val="24"/>
          <w:lang w:eastAsia="tr-TR"/>
        </w:rPr>
        <w:t xml:space="preserve"> Milli Eğitim Bakanlığı bütçesinden yatırımlara ayrılan pay AKP iktidarı döneminde sürekli azalma eğilimi göstermiş</w:t>
      </w:r>
      <w:r w:rsidR="00991C0D">
        <w:rPr>
          <w:rFonts w:eastAsia="Times New Roman" w:cs="Arial"/>
          <w:color w:val="000000"/>
          <w:sz w:val="24"/>
          <w:szCs w:val="24"/>
          <w:lang w:eastAsia="tr-TR"/>
        </w:rPr>
        <w:t>tir. 2022</w:t>
      </w:r>
      <w:r>
        <w:rPr>
          <w:rFonts w:eastAsia="Times New Roman" w:cs="Arial"/>
          <w:color w:val="000000"/>
          <w:sz w:val="24"/>
          <w:szCs w:val="24"/>
          <w:lang w:eastAsia="tr-TR"/>
        </w:rPr>
        <w:t xml:space="preserve"> yılına göre kısmi bir artış söz konu</w:t>
      </w:r>
      <w:r w:rsidR="00991C0D">
        <w:rPr>
          <w:rFonts w:eastAsia="Times New Roman" w:cs="Arial"/>
          <w:color w:val="000000"/>
          <w:sz w:val="24"/>
          <w:szCs w:val="24"/>
          <w:lang w:eastAsia="tr-TR"/>
        </w:rPr>
        <w:t>su olsa da yeterli oranda bir artış gerçekleştirilmemiştir. MEB bütçesi içerisinde yatırımlara ayrılan payın en az %20 seviyesinde olması sorunların çözümü açısından önem arz etmektedir.</w:t>
      </w:r>
      <w:r w:rsidR="004762D0">
        <w:rPr>
          <w:rFonts w:eastAsia="Times New Roman" w:cs="Arial"/>
          <w:color w:val="000000"/>
          <w:sz w:val="24"/>
          <w:szCs w:val="24"/>
          <w:lang w:eastAsia="tr-TR"/>
        </w:rPr>
        <w:t xml:space="preserve"> Yatırım bütçesinin AKP iktidarı ile düşmeye başlaması siyasi iktidarın eğitime bakışını yansıtmaktadır.</w:t>
      </w:r>
    </w:p>
    <w:p w14:paraId="1ED81B28" w14:textId="63969D7A" w:rsidR="00800096" w:rsidRDefault="00800096" w:rsidP="00DA1D84">
      <w:pPr>
        <w:spacing w:before="120" w:after="0" w:line="276" w:lineRule="auto"/>
        <w:jc w:val="both"/>
        <w:rPr>
          <w:rFonts w:eastAsia="Times New Roman" w:cs="Arial"/>
          <w:color w:val="000000"/>
          <w:sz w:val="24"/>
          <w:szCs w:val="24"/>
          <w:lang w:eastAsia="tr-TR"/>
        </w:rPr>
      </w:pPr>
    </w:p>
    <w:p w14:paraId="20FCCC65" w14:textId="77777777" w:rsidR="00800096" w:rsidRDefault="00800096" w:rsidP="00800096">
      <w:pPr>
        <w:spacing w:before="120" w:after="0" w:line="276" w:lineRule="auto"/>
        <w:jc w:val="both"/>
        <w:rPr>
          <w:rFonts w:eastAsia="Times New Roman" w:cs="Arial"/>
          <w:b/>
          <w:bCs/>
          <w:color w:val="000000"/>
          <w:sz w:val="24"/>
          <w:szCs w:val="24"/>
          <w:lang w:eastAsia="tr-TR"/>
        </w:rPr>
      </w:pPr>
    </w:p>
    <w:p w14:paraId="52CCF023" w14:textId="77777777" w:rsidR="00800096" w:rsidRDefault="00800096" w:rsidP="00800096">
      <w:pPr>
        <w:spacing w:before="120" w:after="0" w:line="276" w:lineRule="auto"/>
        <w:jc w:val="both"/>
        <w:rPr>
          <w:rFonts w:eastAsia="Times New Roman" w:cs="Arial"/>
          <w:b/>
          <w:bCs/>
          <w:color w:val="000000"/>
          <w:sz w:val="24"/>
          <w:szCs w:val="24"/>
          <w:lang w:eastAsia="tr-TR"/>
        </w:rPr>
      </w:pPr>
    </w:p>
    <w:p w14:paraId="0262A9FC" w14:textId="77777777" w:rsidR="00800096" w:rsidRDefault="00800096" w:rsidP="00800096">
      <w:pPr>
        <w:spacing w:before="120" w:after="0" w:line="276" w:lineRule="auto"/>
        <w:jc w:val="both"/>
        <w:rPr>
          <w:rFonts w:eastAsia="Times New Roman" w:cs="Arial"/>
          <w:b/>
          <w:bCs/>
          <w:color w:val="000000"/>
          <w:sz w:val="24"/>
          <w:szCs w:val="24"/>
          <w:lang w:eastAsia="tr-TR"/>
        </w:rPr>
      </w:pPr>
    </w:p>
    <w:p w14:paraId="4548FAE0" w14:textId="77777777" w:rsidR="00800096" w:rsidRDefault="00800096" w:rsidP="00800096">
      <w:pPr>
        <w:spacing w:before="120" w:after="0" w:line="276" w:lineRule="auto"/>
        <w:jc w:val="both"/>
        <w:rPr>
          <w:rFonts w:eastAsia="Times New Roman" w:cs="Arial"/>
          <w:b/>
          <w:bCs/>
          <w:color w:val="000000"/>
          <w:sz w:val="24"/>
          <w:szCs w:val="24"/>
          <w:lang w:eastAsia="tr-TR"/>
        </w:rPr>
      </w:pPr>
    </w:p>
    <w:p w14:paraId="2A05EBEC" w14:textId="77777777" w:rsidR="00800096" w:rsidRDefault="00800096" w:rsidP="00800096">
      <w:pPr>
        <w:spacing w:before="120" w:after="0" w:line="276" w:lineRule="auto"/>
        <w:jc w:val="both"/>
        <w:rPr>
          <w:rFonts w:eastAsia="Times New Roman" w:cs="Arial"/>
          <w:b/>
          <w:bCs/>
          <w:color w:val="000000"/>
          <w:sz w:val="24"/>
          <w:szCs w:val="24"/>
          <w:lang w:eastAsia="tr-TR"/>
        </w:rPr>
      </w:pPr>
    </w:p>
    <w:p w14:paraId="55ECB776" w14:textId="77777777" w:rsidR="00800096" w:rsidRDefault="00800096" w:rsidP="00800096">
      <w:pPr>
        <w:spacing w:before="120" w:after="0" w:line="276" w:lineRule="auto"/>
        <w:jc w:val="both"/>
        <w:rPr>
          <w:rFonts w:eastAsia="Times New Roman" w:cs="Arial"/>
          <w:b/>
          <w:bCs/>
          <w:color w:val="000000"/>
          <w:sz w:val="24"/>
          <w:szCs w:val="24"/>
          <w:lang w:eastAsia="tr-TR"/>
        </w:rPr>
      </w:pPr>
    </w:p>
    <w:p w14:paraId="422F13DD" w14:textId="77777777" w:rsidR="00800096" w:rsidRDefault="00800096" w:rsidP="00800096">
      <w:pPr>
        <w:spacing w:before="120" w:after="0" w:line="276" w:lineRule="auto"/>
        <w:jc w:val="both"/>
        <w:rPr>
          <w:rFonts w:eastAsia="Times New Roman" w:cs="Arial"/>
          <w:b/>
          <w:bCs/>
          <w:color w:val="000000"/>
          <w:sz w:val="24"/>
          <w:szCs w:val="24"/>
          <w:lang w:eastAsia="tr-TR"/>
        </w:rPr>
      </w:pPr>
    </w:p>
    <w:p w14:paraId="320D663F" w14:textId="77777777" w:rsidR="00800096" w:rsidRDefault="00800096" w:rsidP="00800096">
      <w:pPr>
        <w:spacing w:before="120" w:after="0" w:line="276" w:lineRule="auto"/>
        <w:jc w:val="both"/>
        <w:rPr>
          <w:rFonts w:eastAsia="Times New Roman" w:cs="Arial"/>
          <w:b/>
          <w:bCs/>
          <w:color w:val="000000"/>
          <w:sz w:val="24"/>
          <w:szCs w:val="24"/>
          <w:lang w:eastAsia="tr-TR"/>
        </w:rPr>
      </w:pPr>
    </w:p>
    <w:p w14:paraId="0BA92DE7" w14:textId="77777777" w:rsidR="00800096" w:rsidRDefault="00800096" w:rsidP="00800096">
      <w:pPr>
        <w:spacing w:before="120" w:after="0" w:line="276" w:lineRule="auto"/>
        <w:jc w:val="both"/>
        <w:rPr>
          <w:rFonts w:eastAsia="Times New Roman" w:cs="Arial"/>
          <w:b/>
          <w:bCs/>
          <w:color w:val="000000"/>
          <w:sz w:val="24"/>
          <w:szCs w:val="24"/>
          <w:lang w:eastAsia="tr-TR"/>
        </w:rPr>
      </w:pPr>
    </w:p>
    <w:p w14:paraId="218AFFEF" w14:textId="77777777" w:rsidR="00800096" w:rsidRDefault="00800096" w:rsidP="00800096">
      <w:pPr>
        <w:spacing w:before="120" w:after="0" w:line="276" w:lineRule="auto"/>
        <w:jc w:val="both"/>
        <w:rPr>
          <w:rFonts w:eastAsia="Times New Roman" w:cs="Arial"/>
          <w:b/>
          <w:bCs/>
          <w:color w:val="000000"/>
          <w:sz w:val="24"/>
          <w:szCs w:val="24"/>
          <w:lang w:eastAsia="tr-TR"/>
        </w:rPr>
      </w:pPr>
    </w:p>
    <w:p w14:paraId="6A194891" w14:textId="77777777" w:rsidR="00800096" w:rsidRDefault="00800096" w:rsidP="00800096">
      <w:pPr>
        <w:spacing w:before="120" w:after="0" w:line="276" w:lineRule="auto"/>
        <w:jc w:val="both"/>
        <w:rPr>
          <w:rFonts w:eastAsia="Times New Roman" w:cs="Arial"/>
          <w:b/>
          <w:bCs/>
          <w:color w:val="000000"/>
          <w:sz w:val="24"/>
          <w:szCs w:val="24"/>
          <w:lang w:eastAsia="tr-TR"/>
        </w:rPr>
      </w:pPr>
    </w:p>
    <w:p w14:paraId="4B22492C" w14:textId="77777777" w:rsidR="00800096" w:rsidRDefault="00800096" w:rsidP="00800096">
      <w:pPr>
        <w:spacing w:before="120" w:after="0" w:line="276" w:lineRule="auto"/>
        <w:jc w:val="both"/>
        <w:rPr>
          <w:rFonts w:eastAsia="Times New Roman" w:cs="Arial"/>
          <w:b/>
          <w:bCs/>
          <w:color w:val="000000"/>
          <w:sz w:val="24"/>
          <w:szCs w:val="24"/>
          <w:lang w:eastAsia="tr-TR"/>
        </w:rPr>
      </w:pPr>
    </w:p>
    <w:p w14:paraId="1ADDF6CA" w14:textId="77777777" w:rsidR="00800096" w:rsidRDefault="00800096" w:rsidP="00800096">
      <w:pPr>
        <w:spacing w:before="120" w:after="0" w:line="276" w:lineRule="auto"/>
        <w:jc w:val="both"/>
        <w:rPr>
          <w:rFonts w:eastAsia="Times New Roman" w:cs="Arial"/>
          <w:b/>
          <w:bCs/>
          <w:color w:val="000000"/>
          <w:sz w:val="24"/>
          <w:szCs w:val="24"/>
          <w:lang w:eastAsia="tr-TR"/>
        </w:rPr>
      </w:pPr>
    </w:p>
    <w:p w14:paraId="5E01EAA0" w14:textId="77777777" w:rsidR="00800096" w:rsidRDefault="00800096" w:rsidP="00800096">
      <w:pPr>
        <w:spacing w:before="120" w:after="0" w:line="276" w:lineRule="auto"/>
        <w:jc w:val="both"/>
        <w:rPr>
          <w:rFonts w:eastAsia="Times New Roman" w:cs="Arial"/>
          <w:b/>
          <w:bCs/>
          <w:color w:val="000000"/>
          <w:sz w:val="24"/>
          <w:szCs w:val="24"/>
          <w:lang w:eastAsia="tr-TR"/>
        </w:rPr>
      </w:pPr>
    </w:p>
    <w:p w14:paraId="207CB4C7" w14:textId="0A92D31F" w:rsidR="00800096" w:rsidRPr="00800096" w:rsidRDefault="00800096" w:rsidP="00800096">
      <w:pPr>
        <w:spacing w:before="120" w:after="0" w:line="276" w:lineRule="auto"/>
        <w:jc w:val="both"/>
        <w:rPr>
          <w:rFonts w:eastAsia="Times New Roman" w:cs="Arial"/>
          <w:b/>
          <w:bCs/>
          <w:color w:val="000000"/>
          <w:sz w:val="24"/>
          <w:szCs w:val="24"/>
          <w:lang w:eastAsia="tr-TR"/>
        </w:rPr>
      </w:pPr>
      <w:r w:rsidRPr="00800096">
        <w:rPr>
          <w:rFonts w:eastAsia="Times New Roman" w:cs="Arial"/>
          <w:b/>
          <w:bCs/>
          <w:color w:val="000000"/>
          <w:sz w:val="24"/>
          <w:szCs w:val="24"/>
          <w:lang w:eastAsia="tr-TR"/>
        </w:rPr>
        <w:t>Grafik 6.MEB Bütçesinin dağılımı.</w:t>
      </w:r>
    </w:p>
    <w:p w14:paraId="6B2FE8B8" w14:textId="77777777" w:rsidR="00800096" w:rsidRPr="00800096" w:rsidRDefault="00800096" w:rsidP="00800096">
      <w:pPr>
        <w:spacing w:before="120" w:after="0" w:line="276" w:lineRule="auto"/>
        <w:jc w:val="both"/>
        <w:rPr>
          <w:rFonts w:eastAsia="Times New Roman" w:cs="Arial"/>
          <w:color w:val="000000"/>
          <w:sz w:val="24"/>
          <w:szCs w:val="24"/>
          <w:lang w:eastAsia="tr-TR"/>
        </w:rPr>
      </w:pPr>
      <w:r w:rsidRPr="00800096">
        <w:rPr>
          <w:rFonts w:eastAsia="Times New Roman" w:cs="Arial"/>
          <w:noProof/>
          <w:color w:val="000000"/>
          <w:sz w:val="24"/>
          <w:szCs w:val="24"/>
          <w:lang w:eastAsia="tr-TR"/>
        </w:rPr>
        <w:drawing>
          <wp:inline distT="0" distB="0" distL="0" distR="0" wp14:anchorId="17F1519D" wp14:editId="1FD4A45E">
            <wp:extent cx="6172200" cy="4051300"/>
            <wp:effectExtent l="0" t="0" r="0" b="63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FFBE0D" w14:textId="77777777" w:rsidR="00800096" w:rsidRPr="00800096" w:rsidRDefault="00800096" w:rsidP="00800096">
      <w:pPr>
        <w:spacing w:before="120" w:after="0" w:line="276" w:lineRule="auto"/>
        <w:jc w:val="both"/>
        <w:rPr>
          <w:rFonts w:eastAsia="Times New Roman" w:cs="Arial"/>
          <w:color w:val="000000"/>
          <w:sz w:val="24"/>
          <w:szCs w:val="24"/>
          <w:lang w:eastAsia="tr-TR"/>
        </w:rPr>
      </w:pPr>
    </w:p>
    <w:p w14:paraId="192ABF15" w14:textId="22EB2EF7" w:rsidR="00800096" w:rsidRDefault="00800096" w:rsidP="00800096">
      <w:pPr>
        <w:spacing w:before="120" w:after="0" w:line="276" w:lineRule="auto"/>
        <w:jc w:val="both"/>
        <w:rPr>
          <w:rFonts w:eastAsia="Times New Roman" w:cs="Arial"/>
          <w:color w:val="000000"/>
          <w:sz w:val="24"/>
          <w:szCs w:val="24"/>
          <w:lang w:eastAsia="tr-TR"/>
        </w:rPr>
      </w:pPr>
      <w:r w:rsidRPr="00800096">
        <w:rPr>
          <w:rFonts w:eastAsia="Times New Roman" w:cs="Arial"/>
          <w:color w:val="000000"/>
          <w:sz w:val="24"/>
          <w:szCs w:val="24"/>
          <w:lang w:eastAsia="tr-TR"/>
        </w:rPr>
        <w:t>2023 MEB bütçesinden kar amacı gütmeyen çeşitli vakıf ve derneklere 4,1 milyar, Özel Öğretim Kurumları Genel Müdürlüğüne 13,8 milyar, Genel Orta Öğretim Kurumlarına 48,3 milyar, Mesleki ve Teknik Eğitim Okulları 51,9 milyar, Din Öğretimi Okullarına 31,5 milyar, Okul Öncesi ve İlköğretim Okullarına ise 201 milyar TL kaynak ayrılmıştır.</w:t>
      </w:r>
    </w:p>
    <w:p w14:paraId="337579B8" w14:textId="01F261B5" w:rsidR="00800096" w:rsidRDefault="00800096" w:rsidP="00800096">
      <w:pPr>
        <w:spacing w:before="120" w:after="0" w:line="276" w:lineRule="auto"/>
        <w:jc w:val="both"/>
        <w:rPr>
          <w:rFonts w:eastAsia="Times New Roman" w:cs="Arial"/>
          <w:color w:val="000000"/>
          <w:sz w:val="24"/>
          <w:szCs w:val="24"/>
          <w:lang w:eastAsia="tr-TR"/>
        </w:rPr>
      </w:pPr>
      <w:bookmarkStart w:id="11" w:name="_Hlk117331960"/>
      <w:r>
        <w:rPr>
          <w:rFonts w:eastAsia="Times New Roman" w:cs="Arial"/>
          <w:color w:val="000000"/>
          <w:sz w:val="24"/>
          <w:szCs w:val="24"/>
          <w:lang w:eastAsia="tr-TR"/>
        </w:rPr>
        <w:t xml:space="preserve">Kar amacı gütmeyen kurumlara (Türkiye Maarif Vakfı, Yunus Emre Vakfı ve diğer vakıf ve dernekler) aktarılan bütçe geçtiğimiz yılın iki katına çıkmıştır. Türkiye Maarif Vakfı MEB’in dış ilişkilerle ilgili yetkisinin neredeyse tamamını kendi uhdesine almıştır. MEB kar amacı gütmeyen diğer vakıf ve derneklerin hangileri olduğunu açıklamalıdır. </w:t>
      </w:r>
    </w:p>
    <w:p w14:paraId="4A9B0A76" w14:textId="34E36086" w:rsidR="00800096" w:rsidRPr="00800096" w:rsidRDefault="00800096" w:rsidP="00800096">
      <w:pPr>
        <w:spacing w:before="120" w:after="0" w:line="276" w:lineRule="auto"/>
        <w:jc w:val="both"/>
        <w:rPr>
          <w:rFonts w:eastAsia="Times New Roman" w:cs="Arial"/>
          <w:color w:val="000000"/>
          <w:sz w:val="24"/>
          <w:szCs w:val="24"/>
          <w:lang w:eastAsia="tr-TR"/>
        </w:rPr>
      </w:pPr>
      <w:r>
        <w:rPr>
          <w:rFonts w:eastAsia="Times New Roman" w:cs="Arial"/>
          <w:color w:val="000000"/>
          <w:sz w:val="24"/>
          <w:szCs w:val="24"/>
          <w:lang w:eastAsia="tr-TR"/>
        </w:rPr>
        <w:t>Ayrıca özel öğretim kurumlarına ayrılan bütçe de iki katına çıkmış AKP’nin kamusal eğitimden uzaklaştığını ortaya koymuştur. MEB yatırımlarına 39,9 milyar lira ayırırken, özel öğretim kurumlarına 13,8 milyar lira ayrılması manidardır. MEB yatırımlarının üçte biri kadar özel okullara kaynak ayrılmıştır.</w:t>
      </w:r>
    </w:p>
    <w:bookmarkEnd w:id="11"/>
    <w:p w14:paraId="24244A42" w14:textId="241B1F8D" w:rsidR="00800096" w:rsidRDefault="00800096" w:rsidP="00DA1D84">
      <w:pPr>
        <w:spacing w:before="120" w:after="0" w:line="276" w:lineRule="auto"/>
        <w:jc w:val="both"/>
        <w:rPr>
          <w:rFonts w:eastAsia="Times New Roman" w:cs="Arial"/>
          <w:color w:val="000000"/>
          <w:sz w:val="24"/>
          <w:szCs w:val="24"/>
          <w:lang w:eastAsia="tr-TR"/>
        </w:rPr>
      </w:pPr>
    </w:p>
    <w:p w14:paraId="3F962C4E" w14:textId="4E22B1DB" w:rsidR="00800096" w:rsidRDefault="00800096" w:rsidP="00DA1D84">
      <w:pPr>
        <w:spacing w:before="120" w:after="0" w:line="276" w:lineRule="auto"/>
        <w:jc w:val="both"/>
        <w:rPr>
          <w:rFonts w:eastAsia="Times New Roman" w:cs="Arial"/>
          <w:color w:val="000000"/>
          <w:sz w:val="24"/>
          <w:szCs w:val="24"/>
          <w:lang w:eastAsia="tr-TR"/>
        </w:rPr>
      </w:pPr>
    </w:p>
    <w:p w14:paraId="240E074F" w14:textId="08E71DF2" w:rsidR="00800096" w:rsidRDefault="00800096" w:rsidP="00DA1D84">
      <w:pPr>
        <w:spacing w:before="120" w:after="0" w:line="276" w:lineRule="auto"/>
        <w:jc w:val="both"/>
        <w:rPr>
          <w:rFonts w:eastAsia="Times New Roman" w:cs="Arial"/>
          <w:color w:val="000000"/>
          <w:sz w:val="24"/>
          <w:szCs w:val="24"/>
          <w:lang w:eastAsia="tr-TR"/>
        </w:rPr>
      </w:pPr>
    </w:p>
    <w:p w14:paraId="25748E68" w14:textId="028C9E15" w:rsidR="00800096" w:rsidRDefault="00800096" w:rsidP="00DA1D84">
      <w:pPr>
        <w:spacing w:before="120" w:after="0" w:line="276" w:lineRule="auto"/>
        <w:jc w:val="both"/>
        <w:rPr>
          <w:rFonts w:eastAsia="Times New Roman" w:cs="Arial"/>
          <w:color w:val="000000"/>
          <w:sz w:val="24"/>
          <w:szCs w:val="24"/>
          <w:lang w:eastAsia="tr-TR"/>
        </w:rPr>
      </w:pPr>
    </w:p>
    <w:p w14:paraId="0ED94A99" w14:textId="502B0448" w:rsidR="00800096" w:rsidRDefault="00800096" w:rsidP="00DA1D84">
      <w:pPr>
        <w:spacing w:before="120" w:after="0" w:line="276" w:lineRule="auto"/>
        <w:jc w:val="both"/>
        <w:rPr>
          <w:rFonts w:eastAsia="Times New Roman" w:cs="Arial"/>
          <w:color w:val="000000"/>
          <w:sz w:val="24"/>
          <w:szCs w:val="24"/>
          <w:lang w:eastAsia="tr-TR"/>
        </w:rPr>
      </w:pPr>
    </w:p>
    <w:p w14:paraId="1D5024F6" w14:textId="77777777" w:rsidR="00800096" w:rsidRDefault="00800096" w:rsidP="00DA1D84">
      <w:pPr>
        <w:spacing w:before="120" w:after="0" w:line="276" w:lineRule="auto"/>
        <w:jc w:val="both"/>
        <w:rPr>
          <w:rFonts w:eastAsia="Times New Roman" w:cs="Arial"/>
          <w:color w:val="000000"/>
          <w:sz w:val="24"/>
          <w:szCs w:val="24"/>
          <w:lang w:eastAsia="tr-TR"/>
        </w:rPr>
      </w:pPr>
    </w:p>
    <w:p w14:paraId="7BF8AAEF" w14:textId="6341B5E3" w:rsidR="001B74CA" w:rsidRPr="004762D0" w:rsidRDefault="00DD0BC5" w:rsidP="00702E1A">
      <w:pPr>
        <w:pStyle w:val="Balk1"/>
        <w:rPr>
          <w:rFonts w:ascii="Calibri" w:eastAsia="Calibri" w:hAnsi="Calibri" w:cs="Calibri"/>
          <w:b/>
          <w:color w:val="auto"/>
          <w:sz w:val="24"/>
          <w:szCs w:val="24"/>
        </w:rPr>
      </w:pPr>
      <w:bookmarkStart w:id="12" w:name="_Toc117423417"/>
      <w:r w:rsidRPr="004762D0">
        <w:rPr>
          <w:rFonts w:ascii="Calibri" w:eastAsia="Calibri" w:hAnsi="Calibri" w:cs="Calibri"/>
          <w:b/>
          <w:color w:val="auto"/>
          <w:sz w:val="24"/>
          <w:szCs w:val="24"/>
        </w:rPr>
        <w:t>YÖK</w:t>
      </w:r>
      <w:r w:rsidR="00702E1A" w:rsidRPr="004762D0">
        <w:rPr>
          <w:rFonts w:ascii="Calibri" w:eastAsia="Calibri" w:hAnsi="Calibri" w:cs="Calibri"/>
          <w:b/>
          <w:color w:val="auto"/>
          <w:sz w:val="24"/>
          <w:szCs w:val="24"/>
        </w:rPr>
        <w:t>-Yükseköğretim kurumlarının bütçeleri</w:t>
      </w:r>
      <w:bookmarkEnd w:id="12"/>
    </w:p>
    <w:p w14:paraId="0DC2944E" w14:textId="5D4D0E28" w:rsidR="001B74CA" w:rsidRDefault="00B114D0" w:rsidP="00AC62CD">
      <w:pPr>
        <w:jc w:val="both"/>
        <w:rPr>
          <w:rFonts w:ascii="Calibri" w:eastAsia="Calibri" w:hAnsi="Calibri" w:cs="Times New Roman"/>
          <w:sz w:val="24"/>
          <w:szCs w:val="24"/>
        </w:rPr>
      </w:pPr>
      <w:r>
        <w:rPr>
          <w:rFonts w:ascii="Calibri" w:eastAsia="Calibri" w:hAnsi="Calibri" w:cs="Times New Roman"/>
          <w:sz w:val="24"/>
          <w:szCs w:val="24"/>
        </w:rPr>
        <w:t>2023</w:t>
      </w:r>
      <w:r w:rsidR="006A58BB" w:rsidRPr="006A58BB">
        <w:rPr>
          <w:rFonts w:ascii="Calibri" w:eastAsia="Calibri" w:hAnsi="Calibri" w:cs="Times New Roman"/>
          <w:sz w:val="24"/>
          <w:szCs w:val="24"/>
        </w:rPr>
        <w:t xml:space="preserve"> yılı merkezi</w:t>
      </w:r>
      <w:r>
        <w:rPr>
          <w:rFonts w:ascii="Calibri" w:eastAsia="Calibri" w:hAnsi="Calibri" w:cs="Times New Roman"/>
          <w:sz w:val="24"/>
          <w:szCs w:val="24"/>
        </w:rPr>
        <w:t xml:space="preserve"> yönetim bütçesi içerinde YÖK ve Üniversitelerin bütçesinin 134.692.983.000 TL olması öngörülmüştür.</w:t>
      </w:r>
      <w:r w:rsidR="00E37891">
        <w:rPr>
          <w:rFonts w:ascii="Calibri" w:eastAsia="Calibri" w:hAnsi="Calibri" w:cs="Times New Roman"/>
          <w:sz w:val="24"/>
          <w:szCs w:val="24"/>
        </w:rPr>
        <w:t xml:space="preserve"> Ülke genelinde 129 Devlet, 74 vakıf, 4 vakıf MYO olmak üzere toplam 207 yükseköğretim kurumu bulunmaktadır.</w:t>
      </w:r>
    </w:p>
    <w:p w14:paraId="294E4484" w14:textId="5BB433D1" w:rsidR="006A58BB" w:rsidRPr="006A58BB" w:rsidRDefault="00B114D0" w:rsidP="00AC62CD">
      <w:pPr>
        <w:jc w:val="both"/>
        <w:rPr>
          <w:rFonts w:ascii="Calibri" w:eastAsia="Calibri" w:hAnsi="Calibri" w:cs="Times New Roman"/>
          <w:b/>
          <w:sz w:val="24"/>
          <w:szCs w:val="24"/>
        </w:rPr>
      </w:pPr>
      <w:r>
        <w:rPr>
          <w:rFonts w:ascii="Calibri" w:eastAsia="Calibri" w:hAnsi="Calibri" w:cs="Times New Roman"/>
          <w:b/>
          <w:sz w:val="24"/>
          <w:szCs w:val="24"/>
        </w:rPr>
        <w:t xml:space="preserve">Grafik </w:t>
      </w:r>
      <w:r w:rsidR="00800096">
        <w:rPr>
          <w:rFonts w:ascii="Calibri" w:eastAsia="Calibri" w:hAnsi="Calibri" w:cs="Times New Roman"/>
          <w:b/>
          <w:sz w:val="24"/>
          <w:szCs w:val="24"/>
        </w:rPr>
        <w:t>7</w:t>
      </w:r>
      <w:r>
        <w:rPr>
          <w:rFonts w:ascii="Calibri" w:eastAsia="Calibri" w:hAnsi="Calibri" w:cs="Times New Roman"/>
          <w:b/>
          <w:sz w:val="24"/>
          <w:szCs w:val="24"/>
        </w:rPr>
        <w:t>. YÖK ve ü</w:t>
      </w:r>
      <w:r w:rsidR="006A58BB" w:rsidRPr="006A58BB">
        <w:rPr>
          <w:rFonts w:ascii="Calibri" w:eastAsia="Calibri" w:hAnsi="Calibri" w:cs="Times New Roman"/>
          <w:b/>
          <w:sz w:val="24"/>
          <w:szCs w:val="24"/>
        </w:rPr>
        <w:t>niversitelerin bütçesinin GSYH’y</w:t>
      </w:r>
      <w:r>
        <w:rPr>
          <w:rFonts w:ascii="Calibri" w:eastAsia="Calibri" w:hAnsi="Calibri" w:cs="Times New Roman"/>
          <w:b/>
          <w:sz w:val="24"/>
          <w:szCs w:val="24"/>
        </w:rPr>
        <w:t>e ve Merkezi Yönetim Bütçesine o</w:t>
      </w:r>
      <w:r w:rsidR="006A58BB" w:rsidRPr="006A58BB">
        <w:rPr>
          <w:rFonts w:ascii="Calibri" w:eastAsia="Calibri" w:hAnsi="Calibri" w:cs="Times New Roman"/>
          <w:b/>
          <w:sz w:val="24"/>
          <w:szCs w:val="24"/>
        </w:rPr>
        <w:t>ranı.</w:t>
      </w:r>
    </w:p>
    <w:p w14:paraId="7CC02303" w14:textId="6253F64D" w:rsidR="001B74CA" w:rsidRDefault="003C79C9" w:rsidP="00AC62CD">
      <w:pPr>
        <w:jc w:val="both"/>
        <w:rPr>
          <w:rFonts w:ascii="Calibri" w:eastAsia="Calibri" w:hAnsi="Calibri" w:cs="Times New Roman"/>
          <w:b/>
          <w:sz w:val="24"/>
          <w:szCs w:val="24"/>
        </w:rPr>
      </w:pPr>
      <w:r>
        <w:rPr>
          <w:noProof/>
          <w:lang w:eastAsia="tr-TR"/>
        </w:rPr>
        <w:drawing>
          <wp:inline distT="0" distB="0" distL="0" distR="0" wp14:anchorId="4A1CD1C5" wp14:editId="0CA908B9">
            <wp:extent cx="5759450" cy="2614295"/>
            <wp:effectExtent l="0" t="0" r="12700" b="1460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FEDF43" w14:textId="01A30C21" w:rsidR="004762D0" w:rsidRDefault="006A58BB" w:rsidP="00935890">
      <w:pPr>
        <w:jc w:val="both"/>
        <w:rPr>
          <w:rFonts w:ascii="Calibri" w:eastAsia="Calibri" w:hAnsi="Calibri" w:cs="Times New Roman"/>
          <w:sz w:val="24"/>
          <w:szCs w:val="24"/>
        </w:rPr>
      </w:pPr>
      <w:r w:rsidRPr="003C79C9">
        <w:rPr>
          <w:rFonts w:ascii="Calibri" w:eastAsia="Calibri" w:hAnsi="Calibri" w:cs="Times New Roman"/>
          <w:sz w:val="24"/>
          <w:szCs w:val="24"/>
        </w:rPr>
        <w:t xml:space="preserve">YÖK-Üniversite bütçesinin </w:t>
      </w:r>
      <w:r w:rsidR="00B114D0" w:rsidRPr="003C79C9">
        <w:rPr>
          <w:rFonts w:ascii="Calibri" w:eastAsia="Calibri" w:hAnsi="Calibri" w:cs="Times New Roman"/>
          <w:sz w:val="24"/>
          <w:szCs w:val="24"/>
        </w:rPr>
        <w:t>GSYH içerisindeki payı</w:t>
      </w:r>
      <w:r w:rsidR="003C79C9" w:rsidRPr="003C79C9">
        <w:rPr>
          <w:rFonts w:ascii="Calibri" w:eastAsia="Calibri" w:hAnsi="Calibri" w:cs="Times New Roman"/>
          <w:sz w:val="24"/>
          <w:szCs w:val="24"/>
        </w:rPr>
        <w:t xml:space="preserve"> 2002 yılında %0,71</w:t>
      </w:r>
      <w:r w:rsidR="00B114D0" w:rsidRPr="003C79C9">
        <w:rPr>
          <w:rFonts w:ascii="Calibri" w:eastAsia="Calibri" w:hAnsi="Calibri" w:cs="Times New Roman"/>
          <w:sz w:val="24"/>
          <w:szCs w:val="24"/>
        </w:rPr>
        <w:t xml:space="preserve"> iken 2023 yılında bu oran % 0,72’ye</w:t>
      </w:r>
      <w:r w:rsidR="003C79C9" w:rsidRPr="003C79C9">
        <w:rPr>
          <w:rFonts w:ascii="Calibri" w:eastAsia="Calibri" w:hAnsi="Calibri" w:cs="Times New Roman"/>
          <w:sz w:val="24"/>
          <w:szCs w:val="24"/>
        </w:rPr>
        <w:t xml:space="preserve"> yükselmiştir</w:t>
      </w:r>
      <w:r w:rsidRPr="003C79C9">
        <w:rPr>
          <w:rFonts w:ascii="Calibri" w:eastAsia="Calibri" w:hAnsi="Calibri" w:cs="Times New Roman"/>
          <w:sz w:val="24"/>
          <w:szCs w:val="24"/>
        </w:rPr>
        <w:t xml:space="preserve">. </w:t>
      </w:r>
      <w:r w:rsidR="003C79C9" w:rsidRPr="003C79C9">
        <w:rPr>
          <w:rFonts w:ascii="Calibri" w:eastAsia="Calibri" w:hAnsi="Calibri" w:cs="Times New Roman"/>
          <w:sz w:val="24"/>
          <w:szCs w:val="24"/>
        </w:rPr>
        <w:t>Üniversite ve öğrenci sayısı ciddi oranda artmış olsa da bütçede yeterince artış gerçekleşmemiştir.</w:t>
      </w:r>
      <w:r w:rsidR="004762D0">
        <w:rPr>
          <w:rFonts w:ascii="Calibri" w:eastAsia="Calibri" w:hAnsi="Calibri" w:cs="Times New Roman"/>
          <w:sz w:val="24"/>
          <w:szCs w:val="24"/>
        </w:rPr>
        <w:t xml:space="preserve"> 2016 yılında YÖK ve üniversitelerin bütçesi %4,16 iken 2013 yılına geldiğimizde %3,01’e gerilemiştir. 2016 yılından buyana YÖK ve üniversitelerin bütçesi neredeyse yüzde 25 azalmıştır. Yükseköğretim düzeyinde yaşanan nitelik sorununun esas nedeni bütçe eksikliğidir. </w:t>
      </w:r>
    </w:p>
    <w:p w14:paraId="6CD9929B" w14:textId="77777777" w:rsidR="00421766" w:rsidRPr="00421766" w:rsidRDefault="00421766" w:rsidP="00421766">
      <w:pPr>
        <w:spacing w:after="0" w:line="240" w:lineRule="auto"/>
        <w:rPr>
          <w:rFonts w:ascii="Calibri" w:eastAsia="Calibri" w:hAnsi="Calibri" w:cs="Times New Roman"/>
        </w:rPr>
      </w:pPr>
    </w:p>
    <w:p w14:paraId="71DA33A6" w14:textId="77777777" w:rsidR="00421766" w:rsidRPr="00421766" w:rsidRDefault="00421766" w:rsidP="00421766">
      <w:pPr>
        <w:spacing w:after="0" w:line="240" w:lineRule="auto"/>
        <w:jc w:val="both"/>
        <w:rPr>
          <w:rFonts w:ascii="Calibri" w:eastAsia="Calibri" w:hAnsi="Calibri" w:cs="Times New Roman"/>
          <w:b/>
          <w:bCs/>
        </w:rPr>
      </w:pPr>
      <w:r w:rsidRPr="00421766">
        <w:rPr>
          <w:rFonts w:ascii="Calibri" w:eastAsia="Calibri" w:hAnsi="Calibri" w:cs="Times New Roman"/>
          <w:b/>
          <w:bCs/>
        </w:rPr>
        <w:t>SONUÇ VE DEĞERLENDİRME:</w:t>
      </w:r>
    </w:p>
    <w:p w14:paraId="276D2031" w14:textId="77777777" w:rsidR="00421766" w:rsidRPr="00421766" w:rsidRDefault="00421766" w:rsidP="00421766">
      <w:pPr>
        <w:spacing w:after="0" w:line="240" w:lineRule="auto"/>
        <w:jc w:val="both"/>
        <w:rPr>
          <w:rFonts w:ascii="Calibri" w:eastAsia="Calibri" w:hAnsi="Calibri" w:cs="Times New Roman"/>
          <w:b/>
          <w:sz w:val="24"/>
          <w:szCs w:val="24"/>
        </w:rPr>
      </w:pPr>
    </w:p>
    <w:p w14:paraId="2078B2EC" w14:textId="77777777" w:rsidR="00421766" w:rsidRPr="00421766" w:rsidRDefault="00421766" w:rsidP="00421766">
      <w:p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2023 yılı için eğitime ayrılan bütçe, eğitimin güncel gereksinimlerini, öğrenci ve eğitim emekçilerinin ihtiyaçlarını karşılamaktan uzaktır. Eğitimin acil çözüm bekleyen sorunları göz önüne alındığında bu trajikomik bütçe, hükümet için eğitimin önem sırasında ne kadar arkalara itildiğinin de en güncel ispatı niteliğindedir.</w:t>
      </w:r>
    </w:p>
    <w:p w14:paraId="5174C746" w14:textId="77777777" w:rsidR="00421766" w:rsidRPr="00421766" w:rsidRDefault="00421766" w:rsidP="00421766">
      <w:p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 xml:space="preserve">Başlık aralarına bakıldığında:  </w:t>
      </w:r>
    </w:p>
    <w:p w14:paraId="080DA379" w14:textId="77777777" w:rsidR="00421766" w:rsidRPr="00421766" w:rsidRDefault="00421766" w:rsidP="00421766">
      <w:p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Şu an ilköğretim ve ortaöğretim düzeyinde yurtta kalan öğrencilere günlük üç öğün yemek ve bir ara öğün için sadece 29 TL bütçe ayrılmaktadır.  2023 yılı bütçesinde ise günümüzde yaşanan enflasyonun çok altında (%40,19) iyileştirme yapılmıştır. 2023 yılı sonuna kadar pansiyonlarda kalan çocuklarımız için üç öğün ve bir ara öğün yemek için yaklaşık 40 TL bütçe ayrılmıştır. Bütçenin bu hali ile pansiyonlarda kalan yatılı öğrencilerimiz açlığa mahkum edilmektedir.</w:t>
      </w:r>
    </w:p>
    <w:p w14:paraId="0E4500AC" w14:textId="77777777" w:rsidR="00421766" w:rsidRPr="00421766" w:rsidRDefault="00421766" w:rsidP="00421766">
      <w:p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Gelişme çağındaki çocuklarımızın günde bir simit yiyerek akşama kadar idare etmeye çalıştığını, musluklarda su içtiğini, fahiş fiyatlar nedeniyle çoğu velinin kırtasiye ve servis masraflarını bile karşılayamadığını umursamadan hazırlanan bu bütçe, “itibardan tasarruf olmaz” diyerek lükslerinden vazgeçmeyenlerin, tasarruf alanı olarak yine eğitimi bellediğini göstermektedir.</w:t>
      </w:r>
    </w:p>
    <w:p w14:paraId="0837844E" w14:textId="77777777" w:rsidR="00421766" w:rsidRPr="00421766" w:rsidRDefault="00421766" w:rsidP="00421766">
      <w:p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Eğitim, Anayasal olarak bedelsiz verilmesi gereken bir kamu hizmeti; beslenme, barınma, ulaşım gibi yan hizmetler de onun ayrılmaz bir parçasıdır. Oysa 2023 yılında MEB için öngörülen bu bütçe; yeni okul ve derslik inşa etmeye yetmeyeceği için ikili eğitim ve taşımalı eğitim garabetlerini bitiremeyecek, eğitimde giderek dezavantajlı hale gelmiş yoksul öğrencilere sosyal ve maddi destek sağlayamayacak, eğitim sisteminin ihtiyacı kadar öğretmen atamasını yapamayacak, eğitim alanında giderek derinleşen barınma sorununa çözüm getiremeyecektir.</w:t>
      </w:r>
    </w:p>
    <w:p w14:paraId="54DB5231" w14:textId="77777777" w:rsidR="00421766" w:rsidRPr="00421766" w:rsidRDefault="00421766" w:rsidP="00421766">
      <w:p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 xml:space="preserve">MEB bütçesi eğitim iş görenlerinin ihtiyaçlarını da karşılayamayacak düzeydedir. </w:t>
      </w:r>
    </w:p>
    <w:p w14:paraId="7CED01EE" w14:textId="77777777" w:rsidR="00421766" w:rsidRPr="00421766" w:rsidRDefault="00421766" w:rsidP="00421766">
      <w:p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O yüzden yapılması gereken bellidir:</w:t>
      </w:r>
    </w:p>
    <w:p w14:paraId="2B700963" w14:textId="77777777" w:rsidR="00421766" w:rsidRPr="00421766" w:rsidRDefault="00421766" w:rsidP="00421766">
      <w:pPr>
        <w:numPr>
          <w:ilvl w:val="0"/>
          <w:numId w:val="27"/>
        </w:num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Milli Eğitim Bakanlığı, bir kez olsun adının hakkını vererek bu yetersiz bütçeye itiraz etmeli ve milli eğitimin acil ihtiyaçlarına çözüm olacak nitelikte bir bütçe talebinde bulunmalıdır.</w:t>
      </w:r>
    </w:p>
    <w:p w14:paraId="0424F39C" w14:textId="77777777" w:rsidR="00421766" w:rsidRPr="00421766" w:rsidRDefault="00421766" w:rsidP="00421766">
      <w:pPr>
        <w:numPr>
          <w:ilvl w:val="0"/>
          <w:numId w:val="27"/>
        </w:num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Bu bütçede yeni okul ve derslikler, dezavantajlı gruptaki öğrencilere verilecek destekler, taşımalı eğitim ve ikili eğitimi bitirecek hamleler ve iktidar tarafından sadece nostaljik bir vaat gibi anılan köy okullarının artık açılmasını sağlayacak adımların maliyetleri de ayrıntılı biçime yer almalıdır.</w:t>
      </w:r>
    </w:p>
    <w:p w14:paraId="18A25694" w14:textId="77777777" w:rsidR="00421766" w:rsidRPr="00421766" w:rsidRDefault="00421766" w:rsidP="00421766">
      <w:pPr>
        <w:numPr>
          <w:ilvl w:val="0"/>
          <w:numId w:val="27"/>
        </w:num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 xml:space="preserve">Bütçe geçim sıkıntısıyla boğuşan eğitim emekçilerini de hayata bağlayacak nitelikte olmalıdır. Dolayısıyla MEB ve yükseköğretim bütçelerinin milli gelire oranı en az iki kat arttırılmalıdır. </w:t>
      </w:r>
    </w:p>
    <w:p w14:paraId="26E03A5E" w14:textId="77777777" w:rsidR="00421766" w:rsidRPr="00421766" w:rsidRDefault="00421766" w:rsidP="00421766">
      <w:pPr>
        <w:numPr>
          <w:ilvl w:val="0"/>
          <w:numId w:val="27"/>
        </w:num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 xml:space="preserve">Eğitim öğretime hazırlık ödeneği bir maaş tutarında tüm eğitim </w:t>
      </w:r>
      <w:proofErr w:type="spellStart"/>
      <w:r w:rsidRPr="00421766">
        <w:rPr>
          <w:rFonts w:ascii="Calibri" w:eastAsia="Calibri" w:hAnsi="Calibri" w:cs="Times New Roman"/>
          <w:sz w:val="24"/>
          <w:szCs w:val="24"/>
        </w:rPr>
        <w:t>işgörenlerine</w:t>
      </w:r>
      <w:proofErr w:type="spellEnd"/>
      <w:r w:rsidRPr="00421766">
        <w:rPr>
          <w:rFonts w:ascii="Calibri" w:eastAsia="Calibri" w:hAnsi="Calibri" w:cs="Times New Roman"/>
          <w:sz w:val="24"/>
          <w:szCs w:val="24"/>
        </w:rPr>
        <w:t xml:space="preserve"> ödenmelidir.</w:t>
      </w:r>
    </w:p>
    <w:p w14:paraId="032BF062" w14:textId="77777777" w:rsidR="00421766" w:rsidRPr="00421766" w:rsidRDefault="00421766" w:rsidP="00421766">
      <w:pPr>
        <w:numPr>
          <w:ilvl w:val="0"/>
          <w:numId w:val="27"/>
        </w:num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24 Kasım Öğretmenler Günü’nde tüm öğretmenlere bir maaş tutarında ikramiye ödenmelidir.</w:t>
      </w:r>
    </w:p>
    <w:p w14:paraId="47B196F9" w14:textId="77777777" w:rsidR="00421766" w:rsidRPr="00421766" w:rsidRDefault="00421766" w:rsidP="00421766">
      <w:pPr>
        <w:numPr>
          <w:ilvl w:val="0"/>
          <w:numId w:val="27"/>
        </w:num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Öğretmenlik mesleğini basamaklandırarak kısmi maaş artışı öngören sözde meslek kanunu yeniden düzenlenmeli, basamaklandırma yapılmadan tüm öğretmenlerin maaşlarında iyileştirme yapılmalıdır.</w:t>
      </w:r>
    </w:p>
    <w:p w14:paraId="02F9B138" w14:textId="567A983C" w:rsidR="00421766" w:rsidRPr="00421766" w:rsidRDefault="00421766" w:rsidP="00421766">
      <w:pPr>
        <w:numPr>
          <w:ilvl w:val="0"/>
          <w:numId w:val="27"/>
        </w:num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Sözleşmeli ve ücretli öğretmenlik uygulamasına derhal son verilmeli, Anayas</w:t>
      </w:r>
      <w:r>
        <w:rPr>
          <w:rFonts w:ascii="Calibri" w:eastAsia="Calibri" w:hAnsi="Calibri" w:cs="Times New Roman"/>
          <w:sz w:val="24"/>
          <w:szCs w:val="24"/>
        </w:rPr>
        <w:t>a</w:t>
      </w:r>
      <w:r w:rsidRPr="00421766">
        <w:rPr>
          <w:rFonts w:ascii="Calibri" w:eastAsia="Calibri" w:hAnsi="Calibri" w:cs="Times New Roman"/>
          <w:sz w:val="24"/>
          <w:szCs w:val="24"/>
        </w:rPr>
        <w:t>l bir hak olan güvenceli istihdam, eğitimde tek metot haline gelmelidir.</w:t>
      </w:r>
    </w:p>
    <w:p w14:paraId="401064E5" w14:textId="77777777" w:rsidR="00421766" w:rsidRPr="00421766" w:rsidRDefault="00421766" w:rsidP="00421766">
      <w:pPr>
        <w:numPr>
          <w:ilvl w:val="0"/>
          <w:numId w:val="27"/>
        </w:num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 xml:space="preserve">Resmi rakamlara göre 100 bin öğretmen açığı olduğu görülmekte, gereken kadar okul ve derslik inşaatı tamamlandığında bu rakamın kat kat büyüyeceği anlaşılmaktadır. Dolayısıyla bütçe bu atamaları mümkün kılabilecek bir hale getirilmelidir. </w:t>
      </w:r>
    </w:p>
    <w:p w14:paraId="4FFB7DD5" w14:textId="77777777" w:rsidR="00421766" w:rsidRPr="00421766" w:rsidRDefault="00421766" w:rsidP="00421766">
      <w:pPr>
        <w:numPr>
          <w:ilvl w:val="0"/>
          <w:numId w:val="27"/>
        </w:num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Eğitim emekçilerine ödenen sosyal yardımlar günün koşullarına göre yeniden belirlenmelidir.</w:t>
      </w:r>
    </w:p>
    <w:p w14:paraId="7E1740A6" w14:textId="77777777" w:rsidR="00421766" w:rsidRPr="00421766" w:rsidRDefault="00421766" w:rsidP="00421766">
      <w:pPr>
        <w:numPr>
          <w:ilvl w:val="0"/>
          <w:numId w:val="27"/>
        </w:num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MEB bütçesinin özel okullara aktarılması, milli eğitim bütçesinin, tüm denetimlerden muaf hale getirilmiş Maarif Vakfı ile paylaşılması derhal engellenmelidir.</w:t>
      </w:r>
    </w:p>
    <w:p w14:paraId="5D180C33" w14:textId="77777777" w:rsidR="00421766" w:rsidRPr="00421766" w:rsidRDefault="00421766" w:rsidP="00421766">
      <w:pPr>
        <w:spacing w:after="0" w:line="240" w:lineRule="auto"/>
        <w:jc w:val="both"/>
        <w:rPr>
          <w:rFonts w:ascii="Calibri" w:eastAsia="Calibri" w:hAnsi="Calibri" w:cs="Times New Roman"/>
          <w:sz w:val="24"/>
          <w:szCs w:val="24"/>
        </w:rPr>
      </w:pPr>
    </w:p>
    <w:p w14:paraId="7E98EFF1" w14:textId="77777777" w:rsidR="00421766" w:rsidRPr="00421766" w:rsidRDefault="00421766" w:rsidP="00421766">
      <w:pPr>
        <w:spacing w:after="0" w:line="240" w:lineRule="auto"/>
        <w:jc w:val="both"/>
        <w:rPr>
          <w:rFonts w:ascii="Calibri" w:eastAsia="Calibri" w:hAnsi="Calibri" w:cs="Times New Roman"/>
          <w:sz w:val="24"/>
          <w:szCs w:val="24"/>
        </w:rPr>
      </w:pPr>
      <w:r w:rsidRPr="00421766">
        <w:rPr>
          <w:rFonts w:ascii="Calibri" w:eastAsia="Calibri" w:hAnsi="Calibri" w:cs="Times New Roman"/>
          <w:sz w:val="24"/>
          <w:szCs w:val="24"/>
        </w:rPr>
        <w:t>Dünyada Başöğretmen unvanlı bir liderin kurduğu tek ülkede, milli eğitim sistemi bu kadar vasat bir anlayışla, bu kadar gerçekçi olmayan rakamlarla idare edilemez!</w:t>
      </w:r>
    </w:p>
    <w:p w14:paraId="1EE167FA" w14:textId="77777777" w:rsidR="00DA1D84" w:rsidRDefault="00DA1D84" w:rsidP="00DA1D84">
      <w:pPr>
        <w:jc w:val="center"/>
        <w:rPr>
          <w:b/>
          <w:sz w:val="32"/>
          <w:szCs w:val="32"/>
        </w:rPr>
      </w:pPr>
    </w:p>
    <w:p w14:paraId="485EB165" w14:textId="77777777" w:rsidR="00DA1D84" w:rsidRDefault="00DA1D84" w:rsidP="00DA1D84">
      <w:pPr>
        <w:jc w:val="center"/>
        <w:rPr>
          <w:b/>
          <w:sz w:val="32"/>
          <w:szCs w:val="32"/>
        </w:rPr>
      </w:pPr>
    </w:p>
    <w:p w14:paraId="73C845C8" w14:textId="77777777" w:rsidR="00DA1D84" w:rsidRDefault="00DA1D84" w:rsidP="00DA1D84">
      <w:pPr>
        <w:jc w:val="center"/>
        <w:rPr>
          <w:b/>
          <w:sz w:val="32"/>
          <w:szCs w:val="32"/>
        </w:rPr>
      </w:pPr>
    </w:p>
    <w:p w14:paraId="032EF812" w14:textId="6EBF25BE" w:rsidR="00DA1D84" w:rsidRDefault="00DA1D84" w:rsidP="00DA1D84">
      <w:pPr>
        <w:jc w:val="center"/>
        <w:rPr>
          <w:b/>
          <w:sz w:val="32"/>
          <w:szCs w:val="32"/>
        </w:rPr>
      </w:pPr>
    </w:p>
    <w:p w14:paraId="3617EF66" w14:textId="77777777" w:rsidR="00DA1D84" w:rsidRDefault="00DA1D84" w:rsidP="00DA1D84">
      <w:pPr>
        <w:jc w:val="center"/>
        <w:rPr>
          <w:b/>
          <w:sz w:val="32"/>
          <w:szCs w:val="32"/>
        </w:rPr>
      </w:pPr>
    </w:p>
    <w:p w14:paraId="4F47DBD1" w14:textId="77777777" w:rsidR="00DA1D84" w:rsidRDefault="00DA1D84" w:rsidP="00DA1D84">
      <w:pPr>
        <w:jc w:val="center"/>
        <w:rPr>
          <w:b/>
          <w:sz w:val="32"/>
          <w:szCs w:val="32"/>
        </w:rPr>
      </w:pPr>
    </w:p>
    <w:p w14:paraId="12C8D0DF" w14:textId="77777777" w:rsidR="00DA1D84" w:rsidRDefault="00DA1D84" w:rsidP="00DA1D84">
      <w:pPr>
        <w:jc w:val="center"/>
        <w:rPr>
          <w:b/>
          <w:sz w:val="32"/>
          <w:szCs w:val="32"/>
        </w:rPr>
      </w:pPr>
    </w:p>
    <w:p w14:paraId="3D01BCB9" w14:textId="77777777" w:rsidR="00DA1D84" w:rsidRDefault="00DA1D84" w:rsidP="00DA1D84">
      <w:pPr>
        <w:jc w:val="center"/>
        <w:rPr>
          <w:b/>
          <w:sz w:val="32"/>
          <w:szCs w:val="32"/>
        </w:rPr>
      </w:pPr>
    </w:p>
    <w:p w14:paraId="06B1EA84" w14:textId="77777777" w:rsidR="00DA1D84" w:rsidRDefault="00DA1D84" w:rsidP="00DA1D84">
      <w:pPr>
        <w:jc w:val="center"/>
        <w:rPr>
          <w:b/>
          <w:sz w:val="32"/>
          <w:szCs w:val="32"/>
        </w:rPr>
      </w:pPr>
    </w:p>
    <w:p w14:paraId="727E6D3E" w14:textId="77777777" w:rsidR="00DA1D84" w:rsidRDefault="00DA1D84" w:rsidP="00DA1D84">
      <w:pPr>
        <w:jc w:val="center"/>
        <w:rPr>
          <w:b/>
          <w:sz w:val="32"/>
          <w:szCs w:val="32"/>
        </w:rPr>
      </w:pPr>
    </w:p>
    <w:p w14:paraId="7731D290" w14:textId="77777777" w:rsidR="00DA1D84" w:rsidRDefault="00DA1D84" w:rsidP="00DA1D84">
      <w:pPr>
        <w:jc w:val="center"/>
        <w:rPr>
          <w:b/>
          <w:sz w:val="32"/>
          <w:szCs w:val="32"/>
        </w:rPr>
      </w:pPr>
    </w:p>
    <w:p w14:paraId="5B58722E" w14:textId="77777777" w:rsidR="00DA1D84" w:rsidRDefault="00DA1D84" w:rsidP="004762D0">
      <w:pPr>
        <w:rPr>
          <w:b/>
          <w:sz w:val="32"/>
          <w:szCs w:val="32"/>
        </w:rPr>
      </w:pPr>
    </w:p>
    <w:p w14:paraId="751FD83B" w14:textId="77777777" w:rsidR="004762D0" w:rsidRDefault="004762D0" w:rsidP="004762D0">
      <w:pPr>
        <w:rPr>
          <w:b/>
          <w:sz w:val="32"/>
          <w:szCs w:val="32"/>
        </w:rPr>
      </w:pPr>
    </w:p>
    <w:p w14:paraId="51A1E483" w14:textId="77777777" w:rsidR="004762D0" w:rsidRDefault="004762D0" w:rsidP="004762D0">
      <w:pPr>
        <w:rPr>
          <w:b/>
          <w:sz w:val="32"/>
          <w:szCs w:val="32"/>
        </w:rPr>
      </w:pPr>
    </w:p>
    <w:p w14:paraId="019920C4" w14:textId="77777777" w:rsidR="004762D0" w:rsidRDefault="004762D0" w:rsidP="004762D0">
      <w:pPr>
        <w:rPr>
          <w:b/>
          <w:sz w:val="32"/>
          <w:szCs w:val="32"/>
        </w:rPr>
      </w:pPr>
    </w:p>
    <w:p w14:paraId="6682688C" w14:textId="77777777" w:rsidR="004762D0" w:rsidRDefault="004762D0" w:rsidP="004762D0">
      <w:pPr>
        <w:rPr>
          <w:b/>
          <w:sz w:val="32"/>
          <w:szCs w:val="32"/>
        </w:rPr>
      </w:pPr>
    </w:p>
    <w:p w14:paraId="5737CF25" w14:textId="77777777" w:rsidR="004762D0" w:rsidRDefault="004762D0" w:rsidP="004762D0">
      <w:pPr>
        <w:rPr>
          <w:b/>
          <w:sz w:val="32"/>
          <w:szCs w:val="32"/>
        </w:rPr>
      </w:pPr>
    </w:p>
    <w:p w14:paraId="4F6DE587" w14:textId="77777777" w:rsidR="004762D0" w:rsidRDefault="004762D0" w:rsidP="004762D0">
      <w:pPr>
        <w:rPr>
          <w:b/>
          <w:sz w:val="32"/>
          <w:szCs w:val="32"/>
        </w:rPr>
      </w:pPr>
    </w:p>
    <w:p w14:paraId="3C929D99" w14:textId="77777777" w:rsidR="004762D0" w:rsidRDefault="004762D0" w:rsidP="004762D0">
      <w:pPr>
        <w:rPr>
          <w:b/>
          <w:sz w:val="32"/>
          <w:szCs w:val="32"/>
        </w:rPr>
      </w:pPr>
    </w:p>
    <w:p w14:paraId="3559602B" w14:textId="77777777" w:rsidR="004762D0" w:rsidRDefault="004762D0" w:rsidP="004762D0">
      <w:pPr>
        <w:rPr>
          <w:b/>
          <w:sz w:val="32"/>
          <w:szCs w:val="32"/>
        </w:rPr>
      </w:pPr>
    </w:p>
    <w:p w14:paraId="5F3F6373" w14:textId="5FB4C794" w:rsidR="004762D0" w:rsidRDefault="004762D0" w:rsidP="004762D0">
      <w:pPr>
        <w:rPr>
          <w:b/>
          <w:sz w:val="32"/>
          <w:szCs w:val="32"/>
        </w:rPr>
        <w:sectPr w:rsidR="004762D0" w:rsidSect="00DA1D84">
          <w:pgSz w:w="11906" w:h="16838"/>
          <w:pgMar w:top="1418" w:right="851" w:bottom="1418" w:left="1418" w:header="709" w:footer="709" w:gutter="0"/>
          <w:cols w:space="708"/>
          <w:docGrid w:linePitch="360"/>
        </w:sectPr>
      </w:pPr>
    </w:p>
    <w:p w14:paraId="326CF666" w14:textId="2E785AE1" w:rsidR="00617FDC" w:rsidRPr="00C24C95" w:rsidRDefault="00617FDC" w:rsidP="004762D0">
      <w:pPr>
        <w:rPr>
          <w:sz w:val="24"/>
          <w:szCs w:val="24"/>
        </w:rPr>
      </w:pPr>
    </w:p>
    <w:sectPr w:rsidR="00617FDC" w:rsidRPr="00C24C95" w:rsidSect="00702E1A">
      <w:pgSz w:w="16838" w:h="11906" w:orient="landscape"/>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9C3DA" w14:textId="77777777" w:rsidR="00BF2BC7" w:rsidRDefault="00BF2BC7" w:rsidP="006B7B75">
      <w:pPr>
        <w:spacing w:after="0" w:line="240" w:lineRule="auto"/>
      </w:pPr>
      <w:r>
        <w:separator/>
      </w:r>
    </w:p>
  </w:endnote>
  <w:endnote w:type="continuationSeparator" w:id="0">
    <w:p w14:paraId="71E01EC1" w14:textId="77777777" w:rsidR="00BF2BC7" w:rsidRDefault="00BF2BC7" w:rsidP="006B7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n-ea">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0242B" w14:textId="285205D1" w:rsidR="00DA1D84" w:rsidRDefault="00DA1D84">
    <w:pPr>
      <w:pStyle w:val="AltBilgi"/>
      <w:jc w:val="right"/>
    </w:pPr>
  </w:p>
  <w:p w14:paraId="57DF549E" w14:textId="71F71B33" w:rsidR="00DA1D84" w:rsidRPr="00465373" w:rsidRDefault="00DA1D84">
    <w:pPr>
      <w:pStyle w:val="AltBilgi"/>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00B92" w14:textId="77777777" w:rsidR="00BF2BC7" w:rsidRDefault="00BF2BC7" w:rsidP="006B7B75">
      <w:pPr>
        <w:spacing w:after="0" w:line="240" w:lineRule="auto"/>
      </w:pPr>
      <w:r>
        <w:separator/>
      </w:r>
    </w:p>
  </w:footnote>
  <w:footnote w:type="continuationSeparator" w:id="0">
    <w:p w14:paraId="7FDE7F2F" w14:textId="77777777" w:rsidR="00BF2BC7" w:rsidRDefault="00BF2BC7" w:rsidP="006B7B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7E6E"/>
    <w:multiLevelType w:val="hybridMultilevel"/>
    <w:tmpl w:val="C7E2B2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2A2F6A"/>
    <w:multiLevelType w:val="hybridMultilevel"/>
    <w:tmpl w:val="A4C821E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BFD212F"/>
    <w:multiLevelType w:val="hybridMultilevel"/>
    <w:tmpl w:val="830CC582"/>
    <w:lvl w:ilvl="0" w:tplc="92FC47AE">
      <w:start w:val="1"/>
      <w:numFmt w:val="bullet"/>
      <w:lvlText w:val="•"/>
      <w:lvlJc w:val="left"/>
      <w:pPr>
        <w:tabs>
          <w:tab w:val="num" w:pos="720"/>
        </w:tabs>
        <w:ind w:left="720" w:hanging="360"/>
      </w:pPr>
      <w:rPr>
        <w:rFonts w:ascii="Arial" w:hAnsi="Arial" w:hint="default"/>
      </w:rPr>
    </w:lvl>
    <w:lvl w:ilvl="1" w:tplc="504873B8" w:tentative="1">
      <w:start w:val="1"/>
      <w:numFmt w:val="bullet"/>
      <w:lvlText w:val="•"/>
      <w:lvlJc w:val="left"/>
      <w:pPr>
        <w:tabs>
          <w:tab w:val="num" w:pos="1440"/>
        </w:tabs>
        <w:ind w:left="1440" w:hanging="360"/>
      </w:pPr>
      <w:rPr>
        <w:rFonts w:ascii="Arial" w:hAnsi="Arial" w:hint="default"/>
      </w:rPr>
    </w:lvl>
    <w:lvl w:ilvl="2" w:tplc="F0A0D67C" w:tentative="1">
      <w:start w:val="1"/>
      <w:numFmt w:val="bullet"/>
      <w:lvlText w:val="•"/>
      <w:lvlJc w:val="left"/>
      <w:pPr>
        <w:tabs>
          <w:tab w:val="num" w:pos="2160"/>
        </w:tabs>
        <w:ind w:left="2160" w:hanging="360"/>
      </w:pPr>
      <w:rPr>
        <w:rFonts w:ascii="Arial" w:hAnsi="Arial" w:hint="default"/>
      </w:rPr>
    </w:lvl>
    <w:lvl w:ilvl="3" w:tplc="E040B490" w:tentative="1">
      <w:start w:val="1"/>
      <w:numFmt w:val="bullet"/>
      <w:lvlText w:val="•"/>
      <w:lvlJc w:val="left"/>
      <w:pPr>
        <w:tabs>
          <w:tab w:val="num" w:pos="2880"/>
        </w:tabs>
        <w:ind w:left="2880" w:hanging="360"/>
      </w:pPr>
      <w:rPr>
        <w:rFonts w:ascii="Arial" w:hAnsi="Arial" w:hint="default"/>
      </w:rPr>
    </w:lvl>
    <w:lvl w:ilvl="4" w:tplc="9DA07766" w:tentative="1">
      <w:start w:val="1"/>
      <w:numFmt w:val="bullet"/>
      <w:lvlText w:val="•"/>
      <w:lvlJc w:val="left"/>
      <w:pPr>
        <w:tabs>
          <w:tab w:val="num" w:pos="3600"/>
        </w:tabs>
        <w:ind w:left="3600" w:hanging="360"/>
      </w:pPr>
      <w:rPr>
        <w:rFonts w:ascii="Arial" w:hAnsi="Arial" w:hint="default"/>
      </w:rPr>
    </w:lvl>
    <w:lvl w:ilvl="5" w:tplc="ED9E77F6" w:tentative="1">
      <w:start w:val="1"/>
      <w:numFmt w:val="bullet"/>
      <w:lvlText w:val="•"/>
      <w:lvlJc w:val="left"/>
      <w:pPr>
        <w:tabs>
          <w:tab w:val="num" w:pos="4320"/>
        </w:tabs>
        <w:ind w:left="4320" w:hanging="360"/>
      </w:pPr>
      <w:rPr>
        <w:rFonts w:ascii="Arial" w:hAnsi="Arial" w:hint="default"/>
      </w:rPr>
    </w:lvl>
    <w:lvl w:ilvl="6" w:tplc="BE08E7C4" w:tentative="1">
      <w:start w:val="1"/>
      <w:numFmt w:val="bullet"/>
      <w:lvlText w:val="•"/>
      <w:lvlJc w:val="left"/>
      <w:pPr>
        <w:tabs>
          <w:tab w:val="num" w:pos="5040"/>
        </w:tabs>
        <w:ind w:left="5040" w:hanging="360"/>
      </w:pPr>
      <w:rPr>
        <w:rFonts w:ascii="Arial" w:hAnsi="Arial" w:hint="default"/>
      </w:rPr>
    </w:lvl>
    <w:lvl w:ilvl="7" w:tplc="DB12C34E" w:tentative="1">
      <w:start w:val="1"/>
      <w:numFmt w:val="bullet"/>
      <w:lvlText w:val="•"/>
      <w:lvlJc w:val="left"/>
      <w:pPr>
        <w:tabs>
          <w:tab w:val="num" w:pos="5760"/>
        </w:tabs>
        <w:ind w:left="5760" w:hanging="360"/>
      </w:pPr>
      <w:rPr>
        <w:rFonts w:ascii="Arial" w:hAnsi="Arial" w:hint="default"/>
      </w:rPr>
    </w:lvl>
    <w:lvl w:ilvl="8" w:tplc="3426ECB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F3169F"/>
    <w:multiLevelType w:val="hybridMultilevel"/>
    <w:tmpl w:val="FB126EA4"/>
    <w:lvl w:ilvl="0" w:tplc="2C983AD4">
      <w:start w:val="1"/>
      <w:numFmt w:val="bullet"/>
      <w:lvlText w:val="•"/>
      <w:lvlJc w:val="left"/>
      <w:pPr>
        <w:tabs>
          <w:tab w:val="num" w:pos="720"/>
        </w:tabs>
        <w:ind w:left="720" w:hanging="360"/>
      </w:pPr>
      <w:rPr>
        <w:rFonts w:ascii="Arial" w:hAnsi="Arial" w:hint="default"/>
      </w:rPr>
    </w:lvl>
    <w:lvl w:ilvl="1" w:tplc="366E69F8" w:tentative="1">
      <w:start w:val="1"/>
      <w:numFmt w:val="bullet"/>
      <w:lvlText w:val="•"/>
      <w:lvlJc w:val="left"/>
      <w:pPr>
        <w:tabs>
          <w:tab w:val="num" w:pos="1440"/>
        </w:tabs>
        <w:ind w:left="1440" w:hanging="360"/>
      </w:pPr>
      <w:rPr>
        <w:rFonts w:ascii="Arial" w:hAnsi="Arial" w:hint="default"/>
      </w:rPr>
    </w:lvl>
    <w:lvl w:ilvl="2" w:tplc="E28A49FE" w:tentative="1">
      <w:start w:val="1"/>
      <w:numFmt w:val="bullet"/>
      <w:lvlText w:val="•"/>
      <w:lvlJc w:val="left"/>
      <w:pPr>
        <w:tabs>
          <w:tab w:val="num" w:pos="2160"/>
        </w:tabs>
        <w:ind w:left="2160" w:hanging="360"/>
      </w:pPr>
      <w:rPr>
        <w:rFonts w:ascii="Arial" w:hAnsi="Arial" w:hint="default"/>
      </w:rPr>
    </w:lvl>
    <w:lvl w:ilvl="3" w:tplc="025A6EB8" w:tentative="1">
      <w:start w:val="1"/>
      <w:numFmt w:val="bullet"/>
      <w:lvlText w:val="•"/>
      <w:lvlJc w:val="left"/>
      <w:pPr>
        <w:tabs>
          <w:tab w:val="num" w:pos="2880"/>
        </w:tabs>
        <w:ind w:left="2880" w:hanging="360"/>
      </w:pPr>
      <w:rPr>
        <w:rFonts w:ascii="Arial" w:hAnsi="Arial" w:hint="default"/>
      </w:rPr>
    </w:lvl>
    <w:lvl w:ilvl="4" w:tplc="1E1C9B28" w:tentative="1">
      <w:start w:val="1"/>
      <w:numFmt w:val="bullet"/>
      <w:lvlText w:val="•"/>
      <w:lvlJc w:val="left"/>
      <w:pPr>
        <w:tabs>
          <w:tab w:val="num" w:pos="3600"/>
        </w:tabs>
        <w:ind w:left="3600" w:hanging="360"/>
      </w:pPr>
      <w:rPr>
        <w:rFonts w:ascii="Arial" w:hAnsi="Arial" w:hint="default"/>
      </w:rPr>
    </w:lvl>
    <w:lvl w:ilvl="5" w:tplc="C33C773A" w:tentative="1">
      <w:start w:val="1"/>
      <w:numFmt w:val="bullet"/>
      <w:lvlText w:val="•"/>
      <w:lvlJc w:val="left"/>
      <w:pPr>
        <w:tabs>
          <w:tab w:val="num" w:pos="4320"/>
        </w:tabs>
        <w:ind w:left="4320" w:hanging="360"/>
      </w:pPr>
      <w:rPr>
        <w:rFonts w:ascii="Arial" w:hAnsi="Arial" w:hint="default"/>
      </w:rPr>
    </w:lvl>
    <w:lvl w:ilvl="6" w:tplc="7FFED108" w:tentative="1">
      <w:start w:val="1"/>
      <w:numFmt w:val="bullet"/>
      <w:lvlText w:val="•"/>
      <w:lvlJc w:val="left"/>
      <w:pPr>
        <w:tabs>
          <w:tab w:val="num" w:pos="5040"/>
        </w:tabs>
        <w:ind w:left="5040" w:hanging="360"/>
      </w:pPr>
      <w:rPr>
        <w:rFonts w:ascii="Arial" w:hAnsi="Arial" w:hint="default"/>
      </w:rPr>
    </w:lvl>
    <w:lvl w:ilvl="7" w:tplc="9D38DD5C" w:tentative="1">
      <w:start w:val="1"/>
      <w:numFmt w:val="bullet"/>
      <w:lvlText w:val="•"/>
      <w:lvlJc w:val="left"/>
      <w:pPr>
        <w:tabs>
          <w:tab w:val="num" w:pos="5760"/>
        </w:tabs>
        <w:ind w:left="5760" w:hanging="360"/>
      </w:pPr>
      <w:rPr>
        <w:rFonts w:ascii="Arial" w:hAnsi="Arial" w:hint="default"/>
      </w:rPr>
    </w:lvl>
    <w:lvl w:ilvl="8" w:tplc="CDD4B2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B7615A"/>
    <w:multiLevelType w:val="hybridMultilevel"/>
    <w:tmpl w:val="04DCAC2E"/>
    <w:lvl w:ilvl="0" w:tplc="E312C77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32AFE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E4187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A610D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8C62E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74643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8C5C1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E8C91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90F07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EB54CEF"/>
    <w:multiLevelType w:val="hybridMultilevel"/>
    <w:tmpl w:val="5CBC33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00100EC"/>
    <w:multiLevelType w:val="hybridMultilevel"/>
    <w:tmpl w:val="236646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DD924E3"/>
    <w:multiLevelType w:val="hybridMultilevel"/>
    <w:tmpl w:val="7E32B424"/>
    <w:lvl w:ilvl="0" w:tplc="677EC38A">
      <w:start w:val="1"/>
      <w:numFmt w:val="bullet"/>
      <w:lvlText w:val="•"/>
      <w:lvlJc w:val="left"/>
      <w:pPr>
        <w:tabs>
          <w:tab w:val="num" w:pos="720"/>
        </w:tabs>
        <w:ind w:left="720" w:hanging="360"/>
      </w:pPr>
      <w:rPr>
        <w:rFonts w:ascii="Arial" w:hAnsi="Arial" w:hint="default"/>
      </w:rPr>
    </w:lvl>
    <w:lvl w:ilvl="1" w:tplc="0B4EF87C" w:tentative="1">
      <w:start w:val="1"/>
      <w:numFmt w:val="bullet"/>
      <w:lvlText w:val="•"/>
      <w:lvlJc w:val="left"/>
      <w:pPr>
        <w:tabs>
          <w:tab w:val="num" w:pos="1440"/>
        </w:tabs>
        <w:ind w:left="1440" w:hanging="360"/>
      </w:pPr>
      <w:rPr>
        <w:rFonts w:ascii="Arial" w:hAnsi="Arial" w:hint="default"/>
      </w:rPr>
    </w:lvl>
    <w:lvl w:ilvl="2" w:tplc="5C9C5B4C" w:tentative="1">
      <w:start w:val="1"/>
      <w:numFmt w:val="bullet"/>
      <w:lvlText w:val="•"/>
      <w:lvlJc w:val="left"/>
      <w:pPr>
        <w:tabs>
          <w:tab w:val="num" w:pos="2160"/>
        </w:tabs>
        <w:ind w:left="2160" w:hanging="360"/>
      </w:pPr>
      <w:rPr>
        <w:rFonts w:ascii="Arial" w:hAnsi="Arial" w:hint="default"/>
      </w:rPr>
    </w:lvl>
    <w:lvl w:ilvl="3" w:tplc="CB040864" w:tentative="1">
      <w:start w:val="1"/>
      <w:numFmt w:val="bullet"/>
      <w:lvlText w:val="•"/>
      <w:lvlJc w:val="left"/>
      <w:pPr>
        <w:tabs>
          <w:tab w:val="num" w:pos="2880"/>
        </w:tabs>
        <w:ind w:left="2880" w:hanging="360"/>
      </w:pPr>
      <w:rPr>
        <w:rFonts w:ascii="Arial" w:hAnsi="Arial" w:hint="default"/>
      </w:rPr>
    </w:lvl>
    <w:lvl w:ilvl="4" w:tplc="4C6C1B84" w:tentative="1">
      <w:start w:val="1"/>
      <w:numFmt w:val="bullet"/>
      <w:lvlText w:val="•"/>
      <w:lvlJc w:val="left"/>
      <w:pPr>
        <w:tabs>
          <w:tab w:val="num" w:pos="3600"/>
        </w:tabs>
        <w:ind w:left="3600" w:hanging="360"/>
      </w:pPr>
      <w:rPr>
        <w:rFonts w:ascii="Arial" w:hAnsi="Arial" w:hint="default"/>
      </w:rPr>
    </w:lvl>
    <w:lvl w:ilvl="5" w:tplc="06F68E2C" w:tentative="1">
      <w:start w:val="1"/>
      <w:numFmt w:val="bullet"/>
      <w:lvlText w:val="•"/>
      <w:lvlJc w:val="left"/>
      <w:pPr>
        <w:tabs>
          <w:tab w:val="num" w:pos="4320"/>
        </w:tabs>
        <w:ind w:left="4320" w:hanging="360"/>
      </w:pPr>
      <w:rPr>
        <w:rFonts w:ascii="Arial" w:hAnsi="Arial" w:hint="default"/>
      </w:rPr>
    </w:lvl>
    <w:lvl w:ilvl="6" w:tplc="ABD0EE26" w:tentative="1">
      <w:start w:val="1"/>
      <w:numFmt w:val="bullet"/>
      <w:lvlText w:val="•"/>
      <w:lvlJc w:val="left"/>
      <w:pPr>
        <w:tabs>
          <w:tab w:val="num" w:pos="5040"/>
        </w:tabs>
        <w:ind w:left="5040" w:hanging="360"/>
      </w:pPr>
      <w:rPr>
        <w:rFonts w:ascii="Arial" w:hAnsi="Arial" w:hint="default"/>
      </w:rPr>
    </w:lvl>
    <w:lvl w:ilvl="7" w:tplc="DD64F9BE" w:tentative="1">
      <w:start w:val="1"/>
      <w:numFmt w:val="bullet"/>
      <w:lvlText w:val="•"/>
      <w:lvlJc w:val="left"/>
      <w:pPr>
        <w:tabs>
          <w:tab w:val="num" w:pos="5760"/>
        </w:tabs>
        <w:ind w:left="5760" w:hanging="360"/>
      </w:pPr>
      <w:rPr>
        <w:rFonts w:ascii="Arial" w:hAnsi="Arial" w:hint="default"/>
      </w:rPr>
    </w:lvl>
    <w:lvl w:ilvl="8" w:tplc="9F46E5C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30157D8"/>
    <w:multiLevelType w:val="hybridMultilevel"/>
    <w:tmpl w:val="7F8A6F9A"/>
    <w:lvl w:ilvl="0" w:tplc="C6D8E0A0">
      <w:start w:val="1"/>
      <w:numFmt w:val="bullet"/>
      <w:lvlText w:val="•"/>
      <w:lvlJc w:val="left"/>
      <w:pPr>
        <w:tabs>
          <w:tab w:val="num" w:pos="720"/>
        </w:tabs>
        <w:ind w:left="720" w:hanging="360"/>
      </w:pPr>
      <w:rPr>
        <w:rFonts w:ascii="Arial" w:hAnsi="Arial" w:hint="default"/>
      </w:rPr>
    </w:lvl>
    <w:lvl w:ilvl="1" w:tplc="10804F0A" w:tentative="1">
      <w:start w:val="1"/>
      <w:numFmt w:val="bullet"/>
      <w:lvlText w:val="•"/>
      <w:lvlJc w:val="left"/>
      <w:pPr>
        <w:tabs>
          <w:tab w:val="num" w:pos="1440"/>
        </w:tabs>
        <w:ind w:left="1440" w:hanging="360"/>
      </w:pPr>
      <w:rPr>
        <w:rFonts w:ascii="Arial" w:hAnsi="Arial" w:hint="default"/>
      </w:rPr>
    </w:lvl>
    <w:lvl w:ilvl="2" w:tplc="ADE0DD06" w:tentative="1">
      <w:start w:val="1"/>
      <w:numFmt w:val="bullet"/>
      <w:lvlText w:val="•"/>
      <w:lvlJc w:val="left"/>
      <w:pPr>
        <w:tabs>
          <w:tab w:val="num" w:pos="2160"/>
        </w:tabs>
        <w:ind w:left="2160" w:hanging="360"/>
      </w:pPr>
      <w:rPr>
        <w:rFonts w:ascii="Arial" w:hAnsi="Arial" w:hint="default"/>
      </w:rPr>
    </w:lvl>
    <w:lvl w:ilvl="3" w:tplc="CA548500" w:tentative="1">
      <w:start w:val="1"/>
      <w:numFmt w:val="bullet"/>
      <w:lvlText w:val="•"/>
      <w:lvlJc w:val="left"/>
      <w:pPr>
        <w:tabs>
          <w:tab w:val="num" w:pos="2880"/>
        </w:tabs>
        <w:ind w:left="2880" w:hanging="360"/>
      </w:pPr>
      <w:rPr>
        <w:rFonts w:ascii="Arial" w:hAnsi="Arial" w:hint="default"/>
      </w:rPr>
    </w:lvl>
    <w:lvl w:ilvl="4" w:tplc="AF14327C" w:tentative="1">
      <w:start w:val="1"/>
      <w:numFmt w:val="bullet"/>
      <w:lvlText w:val="•"/>
      <w:lvlJc w:val="left"/>
      <w:pPr>
        <w:tabs>
          <w:tab w:val="num" w:pos="3600"/>
        </w:tabs>
        <w:ind w:left="3600" w:hanging="360"/>
      </w:pPr>
      <w:rPr>
        <w:rFonts w:ascii="Arial" w:hAnsi="Arial" w:hint="default"/>
      </w:rPr>
    </w:lvl>
    <w:lvl w:ilvl="5" w:tplc="3CB2D9A4" w:tentative="1">
      <w:start w:val="1"/>
      <w:numFmt w:val="bullet"/>
      <w:lvlText w:val="•"/>
      <w:lvlJc w:val="left"/>
      <w:pPr>
        <w:tabs>
          <w:tab w:val="num" w:pos="4320"/>
        </w:tabs>
        <w:ind w:left="4320" w:hanging="360"/>
      </w:pPr>
      <w:rPr>
        <w:rFonts w:ascii="Arial" w:hAnsi="Arial" w:hint="default"/>
      </w:rPr>
    </w:lvl>
    <w:lvl w:ilvl="6" w:tplc="06E01C58" w:tentative="1">
      <w:start w:val="1"/>
      <w:numFmt w:val="bullet"/>
      <w:lvlText w:val="•"/>
      <w:lvlJc w:val="left"/>
      <w:pPr>
        <w:tabs>
          <w:tab w:val="num" w:pos="5040"/>
        </w:tabs>
        <w:ind w:left="5040" w:hanging="360"/>
      </w:pPr>
      <w:rPr>
        <w:rFonts w:ascii="Arial" w:hAnsi="Arial" w:hint="default"/>
      </w:rPr>
    </w:lvl>
    <w:lvl w:ilvl="7" w:tplc="A65CB386" w:tentative="1">
      <w:start w:val="1"/>
      <w:numFmt w:val="bullet"/>
      <w:lvlText w:val="•"/>
      <w:lvlJc w:val="left"/>
      <w:pPr>
        <w:tabs>
          <w:tab w:val="num" w:pos="5760"/>
        </w:tabs>
        <w:ind w:left="5760" w:hanging="360"/>
      </w:pPr>
      <w:rPr>
        <w:rFonts w:ascii="Arial" w:hAnsi="Arial" w:hint="default"/>
      </w:rPr>
    </w:lvl>
    <w:lvl w:ilvl="8" w:tplc="C76AB9A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93014F9"/>
    <w:multiLevelType w:val="hybridMultilevel"/>
    <w:tmpl w:val="6D467E94"/>
    <w:lvl w:ilvl="0" w:tplc="8D405512">
      <w:start w:val="1"/>
      <w:numFmt w:val="bullet"/>
      <w:lvlText w:val="•"/>
      <w:lvlJc w:val="left"/>
      <w:pPr>
        <w:tabs>
          <w:tab w:val="num" w:pos="720"/>
        </w:tabs>
        <w:ind w:left="720" w:hanging="360"/>
      </w:pPr>
      <w:rPr>
        <w:rFonts w:ascii="Arial" w:hAnsi="Arial" w:hint="default"/>
      </w:rPr>
    </w:lvl>
    <w:lvl w:ilvl="1" w:tplc="12F24DA8" w:tentative="1">
      <w:start w:val="1"/>
      <w:numFmt w:val="bullet"/>
      <w:lvlText w:val="•"/>
      <w:lvlJc w:val="left"/>
      <w:pPr>
        <w:tabs>
          <w:tab w:val="num" w:pos="1440"/>
        </w:tabs>
        <w:ind w:left="1440" w:hanging="360"/>
      </w:pPr>
      <w:rPr>
        <w:rFonts w:ascii="Arial" w:hAnsi="Arial" w:hint="default"/>
      </w:rPr>
    </w:lvl>
    <w:lvl w:ilvl="2" w:tplc="B796878C" w:tentative="1">
      <w:start w:val="1"/>
      <w:numFmt w:val="bullet"/>
      <w:lvlText w:val="•"/>
      <w:lvlJc w:val="left"/>
      <w:pPr>
        <w:tabs>
          <w:tab w:val="num" w:pos="2160"/>
        </w:tabs>
        <w:ind w:left="2160" w:hanging="360"/>
      </w:pPr>
      <w:rPr>
        <w:rFonts w:ascii="Arial" w:hAnsi="Arial" w:hint="default"/>
      </w:rPr>
    </w:lvl>
    <w:lvl w:ilvl="3" w:tplc="8BFA9CEA" w:tentative="1">
      <w:start w:val="1"/>
      <w:numFmt w:val="bullet"/>
      <w:lvlText w:val="•"/>
      <w:lvlJc w:val="left"/>
      <w:pPr>
        <w:tabs>
          <w:tab w:val="num" w:pos="2880"/>
        </w:tabs>
        <w:ind w:left="2880" w:hanging="360"/>
      </w:pPr>
      <w:rPr>
        <w:rFonts w:ascii="Arial" w:hAnsi="Arial" w:hint="default"/>
      </w:rPr>
    </w:lvl>
    <w:lvl w:ilvl="4" w:tplc="4D66BC28" w:tentative="1">
      <w:start w:val="1"/>
      <w:numFmt w:val="bullet"/>
      <w:lvlText w:val="•"/>
      <w:lvlJc w:val="left"/>
      <w:pPr>
        <w:tabs>
          <w:tab w:val="num" w:pos="3600"/>
        </w:tabs>
        <w:ind w:left="3600" w:hanging="360"/>
      </w:pPr>
      <w:rPr>
        <w:rFonts w:ascii="Arial" w:hAnsi="Arial" w:hint="default"/>
      </w:rPr>
    </w:lvl>
    <w:lvl w:ilvl="5" w:tplc="E0EC678E" w:tentative="1">
      <w:start w:val="1"/>
      <w:numFmt w:val="bullet"/>
      <w:lvlText w:val="•"/>
      <w:lvlJc w:val="left"/>
      <w:pPr>
        <w:tabs>
          <w:tab w:val="num" w:pos="4320"/>
        </w:tabs>
        <w:ind w:left="4320" w:hanging="360"/>
      </w:pPr>
      <w:rPr>
        <w:rFonts w:ascii="Arial" w:hAnsi="Arial" w:hint="default"/>
      </w:rPr>
    </w:lvl>
    <w:lvl w:ilvl="6" w:tplc="5196522E" w:tentative="1">
      <w:start w:val="1"/>
      <w:numFmt w:val="bullet"/>
      <w:lvlText w:val="•"/>
      <w:lvlJc w:val="left"/>
      <w:pPr>
        <w:tabs>
          <w:tab w:val="num" w:pos="5040"/>
        </w:tabs>
        <w:ind w:left="5040" w:hanging="360"/>
      </w:pPr>
      <w:rPr>
        <w:rFonts w:ascii="Arial" w:hAnsi="Arial" w:hint="default"/>
      </w:rPr>
    </w:lvl>
    <w:lvl w:ilvl="7" w:tplc="0A76BDEC" w:tentative="1">
      <w:start w:val="1"/>
      <w:numFmt w:val="bullet"/>
      <w:lvlText w:val="•"/>
      <w:lvlJc w:val="left"/>
      <w:pPr>
        <w:tabs>
          <w:tab w:val="num" w:pos="5760"/>
        </w:tabs>
        <w:ind w:left="5760" w:hanging="360"/>
      </w:pPr>
      <w:rPr>
        <w:rFonts w:ascii="Arial" w:hAnsi="Arial" w:hint="default"/>
      </w:rPr>
    </w:lvl>
    <w:lvl w:ilvl="8" w:tplc="B422314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57D1984"/>
    <w:multiLevelType w:val="hybridMultilevel"/>
    <w:tmpl w:val="1D56F3F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64A4571"/>
    <w:multiLevelType w:val="hybridMultilevel"/>
    <w:tmpl w:val="8E68A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6AB47B1"/>
    <w:multiLevelType w:val="hybridMultilevel"/>
    <w:tmpl w:val="6F0465A0"/>
    <w:lvl w:ilvl="0" w:tplc="041F000B">
      <w:start w:val="1"/>
      <w:numFmt w:val="bullet"/>
      <w:lvlText w:val=""/>
      <w:lvlJc w:val="left"/>
      <w:pPr>
        <w:ind w:left="705" w:hanging="360"/>
      </w:pPr>
      <w:rPr>
        <w:rFonts w:ascii="Wingdings" w:hAnsi="Wingdings" w:hint="default"/>
      </w:rPr>
    </w:lvl>
    <w:lvl w:ilvl="1" w:tplc="041F0003" w:tentative="1">
      <w:start w:val="1"/>
      <w:numFmt w:val="bullet"/>
      <w:lvlText w:val="o"/>
      <w:lvlJc w:val="left"/>
      <w:pPr>
        <w:ind w:left="1425" w:hanging="360"/>
      </w:pPr>
      <w:rPr>
        <w:rFonts w:ascii="Courier New" w:hAnsi="Courier New" w:cs="Courier New" w:hint="default"/>
      </w:rPr>
    </w:lvl>
    <w:lvl w:ilvl="2" w:tplc="041F0005" w:tentative="1">
      <w:start w:val="1"/>
      <w:numFmt w:val="bullet"/>
      <w:lvlText w:val=""/>
      <w:lvlJc w:val="left"/>
      <w:pPr>
        <w:ind w:left="2145" w:hanging="360"/>
      </w:pPr>
      <w:rPr>
        <w:rFonts w:ascii="Wingdings" w:hAnsi="Wingdings" w:hint="default"/>
      </w:rPr>
    </w:lvl>
    <w:lvl w:ilvl="3" w:tplc="041F0001" w:tentative="1">
      <w:start w:val="1"/>
      <w:numFmt w:val="bullet"/>
      <w:lvlText w:val=""/>
      <w:lvlJc w:val="left"/>
      <w:pPr>
        <w:ind w:left="2865" w:hanging="360"/>
      </w:pPr>
      <w:rPr>
        <w:rFonts w:ascii="Symbol" w:hAnsi="Symbol" w:hint="default"/>
      </w:rPr>
    </w:lvl>
    <w:lvl w:ilvl="4" w:tplc="041F0003" w:tentative="1">
      <w:start w:val="1"/>
      <w:numFmt w:val="bullet"/>
      <w:lvlText w:val="o"/>
      <w:lvlJc w:val="left"/>
      <w:pPr>
        <w:ind w:left="3585" w:hanging="360"/>
      </w:pPr>
      <w:rPr>
        <w:rFonts w:ascii="Courier New" w:hAnsi="Courier New" w:cs="Courier New" w:hint="default"/>
      </w:rPr>
    </w:lvl>
    <w:lvl w:ilvl="5" w:tplc="041F0005" w:tentative="1">
      <w:start w:val="1"/>
      <w:numFmt w:val="bullet"/>
      <w:lvlText w:val=""/>
      <w:lvlJc w:val="left"/>
      <w:pPr>
        <w:ind w:left="4305" w:hanging="360"/>
      </w:pPr>
      <w:rPr>
        <w:rFonts w:ascii="Wingdings" w:hAnsi="Wingdings" w:hint="default"/>
      </w:rPr>
    </w:lvl>
    <w:lvl w:ilvl="6" w:tplc="041F0001" w:tentative="1">
      <w:start w:val="1"/>
      <w:numFmt w:val="bullet"/>
      <w:lvlText w:val=""/>
      <w:lvlJc w:val="left"/>
      <w:pPr>
        <w:ind w:left="5025" w:hanging="360"/>
      </w:pPr>
      <w:rPr>
        <w:rFonts w:ascii="Symbol" w:hAnsi="Symbol" w:hint="default"/>
      </w:rPr>
    </w:lvl>
    <w:lvl w:ilvl="7" w:tplc="041F0003" w:tentative="1">
      <w:start w:val="1"/>
      <w:numFmt w:val="bullet"/>
      <w:lvlText w:val="o"/>
      <w:lvlJc w:val="left"/>
      <w:pPr>
        <w:ind w:left="5745" w:hanging="360"/>
      </w:pPr>
      <w:rPr>
        <w:rFonts w:ascii="Courier New" w:hAnsi="Courier New" w:cs="Courier New" w:hint="default"/>
      </w:rPr>
    </w:lvl>
    <w:lvl w:ilvl="8" w:tplc="041F0005" w:tentative="1">
      <w:start w:val="1"/>
      <w:numFmt w:val="bullet"/>
      <w:lvlText w:val=""/>
      <w:lvlJc w:val="left"/>
      <w:pPr>
        <w:ind w:left="6465" w:hanging="360"/>
      </w:pPr>
      <w:rPr>
        <w:rFonts w:ascii="Wingdings" w:hAnsi="Wingdings" w:hint="default"/>
      </w:rPr>
    </w:lvl>
  </w:abstractNum>
  <w:abstractNum w:abstractNumId="13" w15:restartNumberingAfterBreak="0">
    <w:nsid w:val="534534FA"/>
    <w:multiLevelType w:val="hybridMultilevel"/>
    <w:tmpl w:val="40045604"/>
    <w:lvl w:ilvl="0" w:tplc="27BCDBC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642F3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2A6FC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6A682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20A53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0EE37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A68A0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28502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FC74C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4895E1D"/>
    <w:multiLevelType w:val="hybridMultilevel"/>
    <w:tmpl w:val="8B36265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4CE1DF2"/>
    <w:multiLevelType w:val="hybridMultilevel"/>
    <w:tmpl w:val="036459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DF00EBB"/>
    <w:multiLevelType w:val="hybridMultilevel"/>
    <w:tmpl w:val="84DEA0CC"/>
    <w:lvl w:ilvl="0" w:tplc="4F5E4776">
      <w:start w:val="1"/>
      <w:numFmt w:val="bullet"/>
      <w:lvlText w:val="•"/>
      <w:lvlJc w:val="left"/>
      <w:pPr>
        <w:tabs>
          <w:tab w:val="num" w:pos="720"/>
        </w:tabs>
        <w:ind w:left="720" w:hanging="360"/>
      </w:pPr>
      <w:rPr>
        <w:rFonts w:ascii="Arial" w:hAnsi="Arial" w:hint="default"/>
      </w:rPr>
    </w:lvl>
    <w:lvl w:ilvl="1" w:tplc="D232787C" w:tentative="1">
      <w:start w:val="1"/>
      <w:numFmt w:val="bullet"/>
      <w:lvlText w:val="•"/>
      <w:lvlJc w:val="left"/>
      <w:pPr>
        <w:tabs>
          <w:tab w:val="num" w:pos="1440"/>
        </w:tabs>
        <w:ind w:left="1440" w:hanging="360"/>
      </w:pPr>
      <w:rPr>
        <w:rFonts w:ascii="Arial" w:hAnsi="Arial" w:hint="default"/>
      </w:rPr>
    </w:lvl>
    <w:lvl w:ilvl="2" w:tplc="8BA6EA40" w:tentative="1">
      <w:start w:val="1"/>
      <w:numFmt w:val="bullet"/>
      <w:lvlText w:val="•"/>
      <w:lvlJc w:val="left"/>
      <w:pPr>
        <w:tabs>
          <w:tab w:val="num" w:pos="2160"/>
        </w:tabs>
        <w:ind w:left="2160" w:hanging="360"/>
      </w:pPr>
      <w:rPr>
        <w:rFonts w:ascii="Arial" w:hAnsi="Arial" w:hint="default"/>
      </w:rPr>
    </w:lvl>
    <w:lvl w:ilvl="3" w:tplc="27265C10" w:tentative="1">
      <w:start w:val="1"/>
      <w:numFmt w:val="bullet"/>
      <w:lvlText w:val="•"/>
      <w:lvlJc w:val="left"/>
      <w:pPr>
        <w:tabs>
          <w:tab w:val="num" w:pos="2880"/>
        </w:tabs>
        <w:ind w:left="2880" w:hanging="360"/>
      </w:pPr>
      <w:rPr>
        <w:rFonts w:ascii="Arial" w:hAnsi="Arial" w:hint="default"/>
      </w:rPr>
    </w:lvl>
    <w:lvl w:ilvl="4" w:tplc="53403D12" w:tentative="1">
      <w:start w:val="1"/>
      <w:numFmt w:val="bullet"/>
      <w:lvlText w:val="•"/>
      <w:lvlJc w:val="left"/>
      <w:pPr>
        <w:tabs>
          <w:tab w:val="num" w:pos="3600"/>
        </w:tabs>
        <w:ind w:left="3600" w:hanging="360"/>
      </w:pPr>
      <w:rPr>
        <w:rFonts w:ascii="Arial" w:hAnsi="Arial" w:hint="default"/>
      </w:rPr>
    </w:lvl>
    <w:lvl w:ilvl="5" w:tplc="646C1456" w:tentative="1">
      <w:start w:val="1"/>
      <w:numFmt w:val="bullet"/>
      <w:lvlText w:val="•"/>
      <w:lvlJc w:val="left"/>
      <w:pPr>
        <w:tabs>
          <w:tab w:val="num" w:pos="4320"/>
        </w:tabs>
        <w:ind w:left="4320" w:hanging="360"/>
      </w:pPr>
      <w:rPr>
        <w:rFonts w:ascii="Arial" w:hAnsi="Arial" w:hint="default"/>
      </w:rPr>
    </w:lvl>
    <w:lvl w:ilvl="6" w:tplc="871A7590" w:tentative="1">
      <w:start w:val="1"/>
      <w:numFmt w:val="bullet"/>
      <w:lvlText w:val="•"/>
      <w:lvlJc w:val="left"/>
      <w:pPr>
        <w:tabs>
          <w:tab w:val="num" w:pos="5040"/>
        </w:tabs>
        <w:ind w:left="5040" w:hanging="360"/>
      </w:pPr>
      <w:rPr>
        <w:rFonts w:ascii="Arial" w:hAnsi="Arial" w:hint="default"/>
      </w:rPr>
    </w:lvl>
    <w:lvl w:ilvl="7" w:tplc="8620023C" w:tentative="1">
      <w:start w:val="1"/>
      <w:numFmt w:val="bullet"/>
      <w:lvlText w:val="•"/>
      <w:lvlJc w:val="left"/>
      <w:pPr>
        <w:tabs>
          <w:tab w:val="num" w:pos="5760"/>
        </w:tabs>
        <w:ind w:left="5760" w:hanging="360"/>
      </w:pPr>
      <w:rPr>
        <w:rFonts w:ascii="Arial" w:hAnsi="Arial" w:hint="default"/>
      </w:rPr>
    </w:lvl>
    <w:lvl w:ilvl="8" w:tplc="EFF65FA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E257E5D"/>
    <w:multiLevelType w:val="hybridMultilevel"/>
    <w:tmpl w:val="ED9C2C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51B122B"/>
    <w:multiLevelType w:val="hybridMultilevel"/>
    <w:tmpl w:val="A47E1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6050BBD"/>
    <w:multiLevelType w:val="hybridMultilevel"/>
    <w:tmpl w:val="2D102D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6C263F4"/>
    <w:multiLevelType w:val="hybridMultilevel"/>
    <w:tmpl w:val="6100CB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8AF596B"/>
    <w:multiLevelType w:val="hybridMultilevel"/>
    <w:tmpl w:val="4CEA01BA"/>
    <w:lvl w:ilvl="0" w:tplc="7C00B36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74756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F60FF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60B71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9A0B7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74587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EC86A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CAAD0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02DC5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DCF7A90"/>
    <w:multiLevelType w:val="hybridMultilevel"/>
    <w:tmpl w:val="8B467E1A"/>
    <w:lvl w:ilvl="0" w:tplc="3544B9B2">
      <w:start w:val="2023"/>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E0E6D61"/>
    <w:multiLevelType w:val="hybridMultilevel"/>
    <w:tmpl w:val="0380AB7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EB26028"/>
    <w:multiLevelType w:val="hybridMultilevel"/>
    <w:tmpl w:val="1646CC50"/>
    <w:lvl w:ilvl="0" w:tplc="0EB0CF88">
      <w:start w:val="916"/>
      <w:numFmt w:val="decimal"/>
      <w:lvlText w:val="%1"/>
      <w:lvlJc w:val="left"/>
      <w:pPr>
        <w:ind w:left="720" w:hanging="360"/>
      </w:pPr>
      <w:rPr>
        <w:rFonts w:hint="default"/>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1D557C0"/>
    <w:multiLevelType w:val="hybridMultilevel"/>
    <w:tmpl w:val="6FB281FA"/>
    <w:lvl w:ilvl="0" w:tplc="041F000B">
      <w:start w:val="1"/>
      <w:numFmt w:val="bullet"/>
      <w:lvlText w:val=""/>
      <w:lvlJc w:val="left"/>
      <w:pPr>
        <w:ind w:left="705" w:hanging="360"/>
      </w:pPr>
      <w:rPr>
        <w:rFonts w:ascii="Wingdings" w:hAnsi="Wingdings" w:hint="default"/>
      </w:rPr>
    </w:lvl>
    <w:lvl w:ilvl="1" w:tplc="041F0003" w:tentative="1">
      <w:start w:val="1"/>
      <w:numFmt w:val="bullet"/>
      <w:lvlText w:val="o"/>
      <w:lvlJc w:val="left"/>
      <w:pPr>
        <w:ind w:left="1425" w:hanging="360"/>
      </w:pPr>
      <w:rPr>
        <w:rFonts w:ascii="Courier New" w:hAnsi="Courier New" w:cs="Courier New" w:hint="default"/>
      </w:rPr>
    </w:lvl>
    <w:lvl w:ilvl="2" w:tplc="041F0005" w:tentative="1">
      <w:start w:val="1"/>
      <w:numFmt w:val="bullet"/>
      <w:lvlText w:val=""/>
      <w:lvlJc w:val="left"/>
      <w:pPr>
        <w:ind w:left="2145" w:hanging="360"/>
      </w:pPr>
      <w:rPr>
        <w:rFonts w:ascii="Wingdings" w:hAnsi="Wingdings" w:hint="default"/>
      </w:rPr>
    </w:lvl>
    <w:lvl w:ilvl="3" w:tplc="041F0001" w:tentative="1">
      <w:start w:val="1"/>
      <w:numFmt w:val="bullet"/>
      <w:lvlText w:val=""/>
      <w:lvlJc w:val="left"/>
      <w:pPr>
        <w:ind w:left="2865" w:hanging="360"/>
      </w:pPr>
      <w:rPr>
        <w:rFonts w:ascii="Symbol" w:hAnsi="Symbol" w:hint="default"/>
      </w:rPr>
    </w:lvl>
    <w:lvl w:ilvl="4" w:tplc="041F0003" w:tentative="1">
      <w:start w:val="1"/>
      <w:numFmt w:val="bullet"/>
      <w:lvlText w:val="o"/>
      <w:lvlJc w:val="left"/>
      <w:pPr>
        <w:ind w:left="3585" w:hanging="360"/>
      </w:pPr>
      <w:rPr>
        <w:rFonts w:ascii="Courier New" w:hAnsi="Courier New" w:cs="Courier New" w:hint="default"/>
      </w:rPr>
    </w:lvl>
    <w:lvl w:ilvl="5" w:tplc="041F0005" w:tentative="1">
      <w:start w:val="1"/>
      <w:numFmt w:val="bullet"/>
      <w:lvlText w:val=""/>
      <w:lvlJc w:val="left"/>
      <w:pPr>
        <w:ind w:left="4305" w:hanging="360"/>
      </w:pPr>
      <w:rPr>
        <w:rFonts w:ascii="Wingdings" w:hAnsi="Wingdings" w:hint="default"/>
      </w:rPr>
    </w:lvl>
    <w:lvl w:ilvl="6" w:tplc="041F0001" w:tentative="1">
      <w:start w:val="1"/>
      <w:numFmt w:val="bullet"/>
      <w:lvlText w:val=""/>
      <w:lvlJc w:val="left"/>
      <w:pPr>
        <w:ind w:left="5025" w:hanging="360"/>
      </w:pPr>
      <w:rPr>
        <w:rFonts w:ascii="Symbol" w:hAnsi="Symbol" w:hint="default"/>
      </w:rPr>
    </w:lvl>
    <w:lvl w:ilvl="7" w:tplc="041F0003" w:tentative="1">
      <w:start w:val="1"/>
      <w:numFmt w:val="bullet"/>
      <w:lvlText w:val="o"/>
      <w:lvlJc w:val="left"/>
      <w:pPr>
        <w:ind w:left="5745" w:hanging="360"/>
      </w:pPr>
      <w:rPr>
        <w:rFonts w:ascii="Courier New" w:hAnsi="Courier New" w:cs="Courier New" w:hint="default"/>
      </w:rPr>
    </w:lvl>
    <w:lvl w:ilvl="8" w:tplc="041F0005" w:tentative="1">
      <w:start w:val="1"/>
      <w:numFmt w:val="bullet"/>
      <w:lvlText w:val=""/>
      <w:lvlJc w:val="left"/>
      <w:pPr>
        <w:ind w:left="6465" w:hanging="360"/>
      </w:pPr>
      <w:rPr>
        <w:rFonts w:ascii="Wingdings" w:hAnsi="Wingdings" w:hint="default"/>
      </w:rPr>
    </w:lvl>
  </w:abstractNum>
  <w:abstractNum w:abstractNumId="26" w15:restartNumberingAfterBreak="0">
    <w:nsid w:val="79DD7877"/>
    <w:multiLevelType w:val="hybridMultilevel"/>
    <w:tmpl w:val="75AA5C4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096361628">
    <w:abstractNumId w:val="6"/>
  </w:num>
  <w:num w:numId="2" w16cid:durableId="96558318">
    <w:abstractNumId w:val="19"/>
  </w:num>
  <w:num w:numId="3" w16cid:durableId="438183288">
    <w:abstractNumId w:val="11"/>
  </w:num>
  <w:num w:numId="4" w16cid:durableId="211113358">
    <w:abstractNumId w:val="0"/>
  </w:num>
  <w:num w:numId="5" w16cid:durableId="1010522528">
    <w:abstractNumId w:val="13"/>
  </w:num>
  <w:num w:numId="6" w16cid:durableId="276066075">
    <w:abstractNumId w:val="24"/>
  </w:num>
  <w:num w:numId="7" w16cid:durableId="665786227">
    <w:abstractNumId w:val="21"/>
  </w:num>
  <w:num w:numId="8" w16cid:durableId="974994370">
    <w:abstractNumId w:val="4"/>
  </w:num>
  <w:num w:numId="9" w16cid:durableId="1510028105">
    <w:abstractNumId w:val="15"/>
  </w:num>
  <w:num w:numId="10" w16cid:durableId="755057115">
    <w:abstractNumId w:val="25"/>
  </w:num>
  <w:num w:numId="11" w16cid:durableId="107167511">
    <w:abstractNumId w:val="12"/>
  </w:num>
  <w:num w:numId="12" w16cid:durableId="1276673286">
    <w:abstractNumId w:val="3"/>
  </w:num>
  <w:num w:numId="13" w16cid:durableId="1905293772">
    <w:abstractNumId w:val="8"/>
  </w:num>
  <w:num w:numId="14" w16cid:durableId="21444314">
    <w:abstractNumId w:val="16"/>
  </w:num>
  <w:num w:numId="15" w16cid:durableId="1383602392">
    <w:abstractNumId w:val="2"/>
  </w:num>
  <w:num w:numId="16" w16cid:durableId="323512734">
    <w:abstractNumId w:val="7"/>
  </w:num>
  <w:num w:numId="17" w16cid:durableId="597367908">
    <w:abstractNumId w:val="9"/>
  </w:num>
  <w:num w:numId="18" w16cid:durableId="686567525">
    <w:abstractNumId w:val="1"/>
  </w:num>
  <w:num w:numId="19" w16cid:durableId="1515026724">
    <w:abstractNumId w:val="5"/>
  </w:num>
  <w:num w:numId="20" w16cid:durableId="655303025">
    <w:abstractNumId w:val="14"/>
  </w:num>
  <w:num w:numId="21" w16cid:durableId="607809117">
    <w:abstractNumId w:val="10"/>
  </w:num>
  <w:num w:numId="22" w16cid:durableId="1579747565">
    <w:abstractNumId w:val="26"/>
  </w:num>
  <w:num w:numId="23" w16cid:durableId="1000546745">
    <w:abstractNumId w:val="18"/>
  </w:num>
  <w:num w:numId="24" w16cid:durableId="1228616403">
    <w:abstractNumId w:val="20"/>
  </w:num>
  <w:num w:numId="25" w16cid:durableId="571500967">
    <w:abstractNumId w:val="17"/>
  </w:num>
  <w:num w:numId="26" w16cid:durableId="185949014">
    <w:abstractNumId w:val="23"/>
  </w:num>
  <w:num w:numId="27" w16cid:durableId="14105402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80"/>
  <w:proofState w:spelling="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DC0"/>
    <w:rsid w:val="000011FD"/>
    <w:rsid w:val="000150E0"/>
    <w:rsid w:val="00020D5E"/>
    <w:rsid w:val="00082C97"/>
    <w:rsid w:val="000A74F0"/>
    <w:rsid w:val="000B3FDD"/>
    <w:rsid w:val="000C0ADB"/>
    <w:rsid w:val="000C35DE"/>
    <w:rsid w:val="000E6D81"/>
    <w:rsid w:val="0011094F"/>
    <w:rsid w:val="00142E3C"/>
    <w:rsid w:val="001570A9"/>
    <w:rsid w:val="0016184A"/>
    <w:rsid w:val="0019339D"/>
    <w:rsid w:val="001A05A3"/>
    <w:rsid w:val="001A0769"/>
    <w:rsid w:val="001B74CA"/>
    <w:rsid w:val="001E5345"/>
    <w:rsid w:val="001E555A"/>
    <w:rsid w:val="00211F2F"/>
    <w:rsid w:val="0022756F"/>
    <w:rsid w:val="00241012"/>
    <w:rsid w:val="002609BC"/>
    <w:rsid w:val="00274FA5"/>
    <w:rsid w:val="002812D9"/>
    <w:rsid w:val="002E2061"/>
    <w:rsid w:val="002E71B5"/>
    <w:rsid w:val="00315088"/>
    <w:rsid w:val="00335B39"/>
    <w:rsid w:val="00336E83"/>
    <w:rsid w:val="00341D9E"/>
    <w:rsid w:val="00352B67"/>
    <w:rsid w:val="00374F2E"/>
    <w:rsid w:val="003826E1"/>
    <w:rsid w:val="003B0240"/>
    <w:rsid w:val="003C79C9"/>
    <w:rsid w:val="003D2D40"/>
    <w:rsid w:val="003D31C9"/>
    <w:rsid w:val="003E1EF8"/>
    <w:rsid w:val="00421766"/>
    <w:rsid w:val="004279F8"/>
    <w:rsid w:val="00441D87"/>
    <w:rsid w:val="0044264A"/>
    <w:rsid w:val="00446E0E"/>
    <w:rsid w:val="0045057C"/>
    <w:rsid w:val="00455091"/>
    <w:rsid w:val="00465373"/>
    <w:rsid w:val="004762D0"/>
    <w:rsid w:val="00490488"/>
    <w:rsid w:val="004930D2"/>
    <w:rsid w:val="004A3199"/>
    <w:rsid w:val="004A5DBC"/>
    <w:rsid w:val="004F4DCB"/>
    <w:rsid w:val="00514E90"/>
    <w:rsid w:val="0051774A"/>
    <w:rsid w:val="0052417D"/>
    <w:rsid w:val="00541E1B"/>
    <w:rsid w:val="00553885"/>
    <w:rsid w:val="00561BB9"/>
    <w:rsid w:val="00597A1E"/>
    <w:rsid w:val="005A0A7E"/>
    <w:rsid w:val="005B22E6"/>
    <w:rsid w:val="005D35AB"/>
    <w:rsid w:val="005D7DC0"/>
    <w:rsid w:val="005F2A77"/>
    <w:rsid w:val="00617FDC"/>
    <w:rsid w:val="00636B51"/>
    <w:rsid w:val="006812BD"/>
    <w:rsid w:val="006A3E25"/>
    <w:rsid w:val="006A58BB"/>
    <w:rsid w:val="006B06B2"/>
    <w:rsid w:val="006B7B75"/>
    <w:rsid w:val="006C06B7"/>
    <w:rsid w:val="006C2BAE"/>
    <w:rsid w:val="006D5AF7"/>
    <w:rsid w:val="006D6513"/>
    <w:rsid w:val="00702E1A"/>
    <w:rsid w:val="00705AA8"/>
    <w:rsid w:val="00715F17"/>
    <w:rsid w:val="0072130B"/>
    <w:rsid w:val="0072168C"/>
    <w:rsid w:val="0072347A"/>
    <w:rsid w:val="0073178C"/>
    <w:rsid w:val="00741C61"/>
    <w:rsid w:val="007428AB"/>
    <w:rsid w:val="0074616D"/>
    <w:rsid w:val="007561EF"/>
    <w:rsid w:val="007661D5"/>
    <w:rsid w:val="007B4929"/>
    <w:rsid w:val="007C5C59"/>
    <w:rsid w:val="007E2AA0"/>
    <w:rsid w:val="007F041C"/>
    <w:rsid w:val="007F09C6"/>
    <w:rsid w:val="007F5797"/>
    <w:rsid w:val="00800096"/>
    <w:rsid w:val="00814424"/>
    <w:rsid w:val="00846303"/>
    <w:rsid w:val="00872275"/>
    <w:rsid w:val="00891B4B"/>
    <w:rsid w:val="008D3338"/>
    <w:rsid w:val="008D397A"/>
    <w:rsid w:val="008E5CBC"/>
    <w:rsid w:val="008F0E97"/>
    <w:rsid w:val="008F1A04"/>
    <w:rsid w:val="00935890"/>
    <w:rsid w:val="00951BEB"/>
    <w:rsid w:val="00961C41"/>
    <w:rsid w:val="00974523"/>
    <w:rsid w:val="00991C0D"/>
    <w:rsid w:val="009A1AD4"/>
    <w:rsid w:val="009B055E"/>
    <w:rsid w:val="009E1E97"/>
    <w:rsid w:val="009E2E15"/>
    <w:rsid w:val="009F11D8"/>
    <w:rsid w:val="00A01621"/>
    <w:rsid w:val="00A04F27"/>
    <w:rsid w:val="00A44380"/>
    <w:rsid w:val="00A51D72"/>
    <w:rsid w:val="00A63366"/>
    <w:rsid w:val="00AA300B"/>
    <w:rsid w:val="00AA69D8"/>
    <w:rsid w:val="00AA74D6"/>
    <w:rsid w:val="00AB0B86"/>
    <w:rsid w:val="00AC35AC"/>
    <w:rsid w:val="00AC62CD"/>
    <w:rsid w:val="00AE1F24"/>
    <w:rsid w:val="00AF38BD"/>
    <w:rsid w:val="00B114D0"/>
    <w:rsid w:val="00BD2423"/>
    <w:rsid w:val="00BF1C91"/>
    <w:rsid w:val="00BF2BC7"/>
    <w:rsid w:val="00C21F95"/>
    <w:rsid w:val="00C24C95"/>
    <w:rsid w:val="00C448ED"/>
    <w:rsid w:val="00C47DD4"/>
    <w:rsid w:val="00C8584D"/>
    <w:rsid w:val="00C96F15"/>
    <w:rsid w:val="00CA6D58"/>
    <w:rsid w:val="00CB1141"/>
    <w:rsid w:val="00CB5730"/>
    <w:rsid w:val="00CB7F89"/>
    <w:rsid w:val="00CE3C7E"/>
    <w:rsid w:val="00CF7A13"/>
    <w:rsid w:val="00CF7EDF"/>
    <w:rsid w:val="00D05F5B"/>
    <w:rsid w:val="00D10A12"/>
    <w:rsid w:val="00D8639A"/>
    <w:rsid w:val="00DA1D84"/>
    <w:rsid w:val="00DB6082"/>
    <w:rsid w:val="00DC34FA"/>
    <w:rsid w:val="00DC5714"/>
    <w:rsid w:val="00DD0BC5"/>
    <w:rsid w:val="00DE14F5"/>
    <w:rsid w:val="00E15851"/>
    <w:rsid w:val="00E1700B"/>
    <w:rsid w:val="00E27357"/>
    <w:rsid w:val="00E37891"/>
    <w:rsid w:val="00E5473F"/>
    <w:rsid w:val="00E86782"/>
    <w:rsid w:val="00EA055B"/>
    <w:rsid w:val="00EB1EB4"/>
    <w:rsid w:val="00ED2560"/>
    <w:rsid w:val="00EE461D"/>
    <w:rsid w:val="00F072DA"/>
    <w:rsid w:val="00F07C5F"/>
    <w:rsid w:val="00F26CE0"/>
    <w:rsid w:val="00F2799A"/>
    <w:rsid w:val="00F31BDF"/>
    <w:rsid w:val="00F44C30"/>
    <w:rsid w:val="00F80FE5"/>
    <w:rsid w:val="00FD0D8F"/>
    <w:rsid w:val="00FD26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C95B8"/>
  <w15:chartTrackingRefBased/>
  <w15:docId w15:val="{CD271603-0B92-4854-A172-EF3D9FAE9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E170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A74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AA74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B7B7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B7B75"/>
  </w:style>
  <w:style w:type="paragraph" w:styleId="AltBilgi">
    <w:name w:val="footer"/>
    <w:basedOn w:val="Normal"/>
    <w:link w:val="AltBilgiChar"/>
    <w:uiPriority w:val="99"/>
    <w:unhideWhenUsed/>
    <w:rsid w:val="006B7B7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B7B75"/>
  </w:style>
  <w:style w:type="paragraph" w:styleId="DipnotMetni">
    <w:name w:val="footnote text"/>
    <w:basedOn w:val="Normal"/>
    <w:link w:val="DipnotMetniChar"/>
    <w:uiPriority w:val="99"/>
    <w:semiHidden/>
    <w:unhideWhenUsed/>
    <w:rsid w:val="007E2AA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7E2AA0"/>
    <w:rPr>
      <w:sz w:val="20"/>
      <w:szCs w:val="20"/>
    </w:rPr>
  </w:style>
  <w:style w:type="character" w:styleId="DipnotBavurusu">
    <w:name w:val="footnote reference"/>
    <w:basedOn w:val="VarsaylanParagrafYazTipi"/>
    <w:uiPriority w:val="99"/>
    <w:semiHidden/>
    <w:unhideWhenUsed/>
    <w:rsid w:val="007E2AA0"/>
    <w:rPr>
      <w:vertAlign w:val="superscript"/>
    </w:rPr>
  </w:style>
  <w:style w:type="table" w:styleId="KlavuzTablo1Ak-Vurgu5">
    <w:name w:val="Grid Table 1 Light Accent 5"/>
    <w:basedOn w:val="NormalTablo"/>
    <w:uiPriority w:val="46"/>
    <w:rsid w:val="006C06B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ListeParagraf">
    <w:name w:val="List Paragraph"/>
    <w:basedOn w:val="Normal"/>
    <w:uiPriority w:val="34"/>
    <w:qFormat/>
    <w:rsid w:val="00CF7EDF"/>
    <w:pPr>
      <w:ind w:left="720"/>
      <w:contextualSpacing/>
    </w:pPr>
  </w:style>
  <w:style w:type="table" w:customStyle="1" w:styleId="KlavuzuTablo4-Vurgu21">
    <w:name w:val="Kılavuzu Tablo 4 - Vurgu 21"/>
    <w:basedOn w:val="NormalTablo"/>
    <w:uiPriority w:val="49"/>
    <w:rsid w:val="00CF7ED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
    <w:name w:val="TableGrid"/>
    <w:rsid w:val="00CF7EDF"/>
    <w:pPr>
      <w:spacing w:after="0" w:line="240" w:lineRule="auto"/>
    </w:pPr>
    <w:rPr>
      <w:rFonts w:eastAsia="Times New Roman"/>
      <w:lang w:eastAsia="tr-TR"/>
    </w:rPr>
    <w:tblPr>
      <w:tblCellMar>
        <w:top w:w="0" w:type="dxa"/>
        <w:left w:w="0" w:type="dxa"/>
        <w:bottom w:w="0" w:type="dxa"/>
        <w:right w:w="0" w:type="dxa"/>
      </w:tblCellMar>
    </w:tblPr>
  </w:style>
  <w:style w:type="table" w:customStyle="1" w:styleId="TableGrid1">
    <w:name w:val="TableGrid1"/>
    <w:rsid w:val="00CF7EDF"/>
    <w:pPr>
      <w:spacing w:after="0" w:line="240" w:lineRule="auto"/>
    </w:pPr>
    <w:rPr>
      <w:rFonts w:eastAsia="Times New Roman"/>
      <w:lang w:eastAsia="tr-TR"/>
    </w:rPr>
    <w:tblPr>
      <w:tblCellMar>
        <w:top w:w="0" w:type="dxa"/>
        <w:left w:w="0" w:type="dxa"/>
        <w:bottom w:w="0" w:type="dxa"/>
        <w:right w:w="0" w:type="dxa"/>
      </w:tblCellMar>
    </w:tblPr>
  </w:style>
  <w:style w:type="table" w:styleId="KlavuzTablo1Ak-Vurgu1">
    <w:name w:val="Grid Table 1 Light Accent 1"/>
    <w:basedOn w:val="NormalTablo"/>
    <w:uiPriority w:val="46"/>
    <w:rsid w:val="0055388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ralkYok">
    <w:name w:val="No Spacing"/>
    <w:link w:val="AralkYokChar"/>
    <w:uiPriority w:val="1"/>
    <w:qFormat/>
    <w:rsid w:val="00CA6D58"/>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A6D58"/>
    <w:rPr>
      <w:rFonts w:eastAsiaTheme="minorEastAsia"/>
      <w:lang w:eastAsia="tr-TR"/>
    </w:rPr>
  </w:style>
  <w:style w:type="character" w:customStyle="1" w:styleId="Balk1Char">
    <w:name w:val="Başlık 1 Char"/>
    <w:basedOn w:val="VarsaylanParagrafYazTipi"/>
    <w:link w:val="Balk1"/>
    <w:uiPriority w:val="9"/>
    <w:rsid w:val="00E1700B"/>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E1700B"/>
    <w:pPr>
      <w:outlineLvl w:val="9"/>
    </w:pPr>
    <w:rPr>
      <w:lang w:eastAsia="tr-TR"/>
    </w:rPr>
  </w:style>
  <w:style w:type="paragraph" w:styleId="T2">
    <w:name w:val="toc 2"/>
    <w:basedOn w:val="Normal"/>
    <w:next w:val="Normal"/>
    <w:autoRedefine/>
    <w:uiPriority w:val="39"/>
    <w:unhideWhenUsed/>
    <w:rsid w:val="00E1700B"/>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E1700B"/>
    <w:pPr>
      <w:spacing w:after="100"/>
    </w:pPr>
    <w:rPr>
      <w:rFonts w:eastAsiaTheme="minorEastAsia" w:cs="Times New Roman"/>
      <w:lang w:eastAsia="tr-TR"/>
    </w:rPr>
  </w:style>
  <w:style w:type="paragraph" w:styleId="T3">
    <w:name w:val="toc 3"/>
    <w:basedOn w:val="Normal"/>
    <w:next w:val="Normal"/>
    <w:autoRedefine/>
    <w:uiPriority w:val="39"/>
    <w:unhideWhenUsed/>
    <w:rsid w:val="00E1700B"/>
    <w:pPr>
      <w:spacing w:after="100"/>
      <w:ind w:left="440"/>
    </w:pPr>
    <w:rPr>
      <w:rFonts w:eastAsiaTheme="minorEastAsia" w:cs="Times New Roman"/>
      <w:lang w:eastAsia="tr-TR"/>
    </w:rPr>
  </w:style>
  <w:style w:type="character" w:styleId="Kpr">
    <w:name w:val="Hyperlink"/>
    <w:basedOn w:val="VarsaylanParagrafYazTipi"/>
    <w:uiPriority w:val="99"/>
    <w:unhideWhenUsed/>
    <w:rsid w:val="00E1700B"/>
    <w:rPr>
      <w:color w:val="0563C1" w:themeColor="hyperlink"/>
      <w:u w:val="single"/>
    </w:rPr>
  </w:style>
  <w:style w:type="table" w:customStyle="1" w:styleId="AkKlavuz-Vurgu51">
    <w:name w:val="Açık Kılavuz - Vurgu 51"/>
    <w:basedOn w:val="NormalTablo"/>
    <w:next w:val="AkKlavuz-Vurgu5"/>
    <w:uiPriority w:val="62"/>
    <w:rsid w:val="00446E0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AkKlavuz-Vurgu5">
    <w:name w:val="Light Grid Accent 5"/>
    <w:basedOn w:val="NormalTablo"/>
    <w:uiPriority w:val="62"/>
    <w:semiHidden/>
    <w:unhideWhenUsed/>
    <w:rsid w:val="00446E0E"/>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KlavuzuTablo4-Vurgu11">
    <w:name w:val="Kılavuzu Tablo 4 - Vurgu 11"/>
    <w:basedOn w:val="NormalTablo"/>
    <w:next w:val="KlavuzuTablo4-Vurgu1"/>
    <w:uiPriority w:val="49"/>
    <w:rsid w:val="001B74CA"/>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2-Vurgu51">
    <w:name w:val="Kılavuz Tablo 2 - Vurgu 51"/>
    <w:basedOn w:val="NormalTablo"/>
    <w:next w:val="KlavuzTablo2-Vurgu5"/>
    <w:uiPriority w:val="47"/>
    <w:rsid w:val="001B74CA"/>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1Ak-Vurgu51">
    <w:name w:val="Kılavuz Tablo 1 Açık - Vurgu 51"/>
    <w:basedOn w:val="NormalTablo"/>
    <w:uiPriority w:val="46"/>
    <w:rsid w:val="001B74CA"/>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KlavuzuTablo4-Vurgu1">
    <w:name w:val="Grid Table 4 Accent 1"/>
    <w:basedOn w:val="NormalTablo"/>
    <w:uiPriority w:val="49"/>
    <w:rsid w:val="001B74C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2-Vurgu5">
    <w:name w:val="Grid Table 2 Accent 5"/>
    <w:basedOn w:val="NormalTablo"/>
    <w:uiPriority w:val="47"/>
    <w:rsid w:val="001B74CA"/>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1Ak-Vurgu52">
    <w:name w:val="Kılavuz Tablo 1 Açık - Vurgu 52"/>
    <w:basedOn w:val="NormalTablo"/>
    <w:next w:val="KlavuzTablo1Ak-Vurgu5"/>
    <w:uiPriority w:val="46"/>
    <w:rsid w:val="00E3789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AkGlgeleme-Vurgu1">
    <w:name w:val="Light Shading Accent 1"/>
    <w:basedOn w:val="NormalTablo"/>
    <w:uiPriority w:val="60"/>
    <w:rsid w:val="00AA300B"/>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Balk2Char">
    <w:name w:val="Başlık 2 Char"/>
    <w:basedOn w:val="VarsaylanParagrafYazTipi"/>
    <w:link w:val="Balk2"/>
    <w:uiPriority w:val="9"/>
    <w:rsid w:val="00AA74D6"/>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AA74D6"/>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C8584D"/>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DzTablo2">
    <w:name w:val="Plain Table 2"/>
    <w:basedOn w:val="NormalTablo"/>
    <w:uiPriority w:val="42"/>
    <w:rsid w:val="00DA1D8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Vurgu511">
    <w:name w:val="Kılavuz Tablo 1 Açık - Vurgu 511"/>
    <w:basedOn w:val="NormalTablo"/>
    <w:uiPriority w:val="46"/>
    <w:rsid w:val="00DA1D8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KlavuzTablo6Renkli-Vurgu1">
    <w:name w:val="Grid Table 6 Colorful Accent 1"/>
    <w:basedOn w:val="NormalTablo"/>
    <w:uiPriority w:val="51"/>
    <w:rsid w:val="00DA1D8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onMetni">
    <w:name w:val="Balloon Text"/>
    <w:basedOn w:val="Normal"/>
    <w:link w:val="BalonMetniChar"/>
    <w:uiPriority w:val="99"/>
    <w:semiHidden/>
    <w:unhideWhenUsed/>
    <w:rsid w:val="00CB114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B11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footer" Target="footer1.xml" /><Relationship Id="rId18" Type="http://schemas.openxmlformats.org/officeDocument/2006/relationships/fontTable" Target="fontTable.xml" /><Relationship Id="rId3" Type="http://schemas.openxmlformats.org/officeDocument/2006/relationships/numbering" Target="numbering.xml" /><Relationship Id="rId7" Type="http://schemas.openxmlformats.org/officeDocument/2006/relationships/footnotes" Target="footnotes.xml" /><Relationship Id="rId12" Type="http://schemas.openxmlformats.org/officeDocument/2006/relationships/chart" Target="charts/chart3.xml" /><Relationship Id="rId17" Type="http://schemas.openxmlformats.org/officeDocument/2006/relationships/chart" Target="charts/chart7.xml" /><Relationship Id="rId2" Type="http://schemas.openxmlformats.org/officeDocument/2006/relationships/customXml" Target="../customXml/item2.xml" /><Relationship Id="rId16" Type="http://schemas.openxmlformats.org/officeDocument/2006/relationships/chart" Target="charts/chart6.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chart" Target="charts/chart2.xml" /><Relationship Id="rId5" Type="http://schemas.openxmlformats.org/officeDocument/2006/relationships/settings" Target="settings.xml" /><Relationship Id="rId15" Type="http://schemas.openxmlformats.org/officeDocument/2006/relationships/chart" Target="charts/chart5.xml" /><Relationship Id="rId10" Type="http://schemas.openxmlformats.org/officeDocument/2006/relationships/chart" Target="charts/chart1.xml" /><Relationship Id="rId19" Type="http://schemas.openxmlformats.org/officeDocument/2006/relationships/theme" Target="theme/theme1.xml" /><Relationship Id="rId4" Type="http://schemas.openxmlformats.org/officeDocument/2006/relationships/styles" Target="styles.xml" /><Relationship Id="rId9" Type="http://schemas.openxmlformats.org/officeDocument/2006/relationships/image" Target="media/image1.jpeg" /><Relationship Id="rId14" Type="http://schemas.openxmlformats.org/officeDocument/2006/relationships/chart" Target="charts/chart4.xml" /></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 /><Relationship Id="rId2" Type="http://schemas.microsoft.com/office/2011/relationships/chartColorStyle" Target="colors1.xml" /><Relationship Id="rId1" Type="http://schemas.microsoft.com/office/2011/relationships/chartStyle" Target="style1.xml" /><Relationship Id="rId4" Type="http://schemas.openxmlformats.org/officeDocument/2006/relationships/package" Target="../embeddings/Microsoft_Excel_Worksheet.xlsx" /></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 /><Relationship Id="rId2" Type="http://schemas.microsoft.com/office/2011/relationships/chartColorStyle" Target="colors2.xml" /><Relationship Id="rId1" Type="http://schemas.microsoft.com/office/2011/relationships/chartStyle" Target="style2.xml" /><Relationship Id="rId4" Type="http://schemas.openxmlformats.org/officeDocument/2006/relationships/package" Target="../embeddings/Microsoft_Excel_Worksheet1.xlsx" /></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 /><Relationship Id="rId2" Type="http://schemas.microsoft.com/office/2011/relationships/chartColorStyle" Target="colors3.xml" /><Relationship Id="rId1" Type="http://schemas.microsoft.com/office/2011/relationships/chartStyle" Target="style3.xml" /><Relationship Id="rId4" Type="http://schemas.openxmlformats.org/officeDocument/2006/relationships/package" Target="../embeddings/Microsoft_Excel_Worksheet2.xlsx" /></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 /><Relationship Id="rId2" Type="http://schemas.microsoft.com/office/2011/relationships/chartColorStyle" Target="colors4.xml" /><Relationship Id="rId1" Type="http://schemas.microsoft.com/office/2011/relationships/chartStyle" Target="style4.xml" /><Relationship Id="rId4" Type="http://schemas.openxmlformats.org/officeDocument/2006/relationships/package" Target="../embeddings/Microsoft_Excel_Worksheet3.xlsx" /></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 /><Relationship Id="rId2" Type="http://schemas.microsoft.com/office/2011/relationships/chartColorStyle" Target="colors5.xml" /><Relationship Id="rId1" Type="http://schemas.microsoft.com/office/2011/relationships/chartStyle" Target="style5.xml" /><Relationship Id="rId4" Type="http://schemas.openxmlformats.org/officeDocument/2006/relationships/package" Target="../embeddings/Microsoft_Excel_Worksheet4.xlsx" /></Relationships>
</file>

<file path=word/charts/_rels/chart6.xml.rels><?xml version="1.0" encoding="UTF-8" standalone="yes"?>
<Relationships xmlns="http://schemas.openxmlformats.org/package/2006/relationships"><Relationship Id="rId3" Type="http://schemas.openxmlformats.org/officeDocument/2006/relationships/oleObject" Target="file:///d:\57982\Desktop\B&#220;T&#199;E\GRAF&#304;KLER----2023.xlsx" TargetMode="External" /><Relationship Id="rId2" Type="http://schemas.microsoft.com/office/2011/relationships/chartColorStyle" Target="colors6.xml" /><Relationship Id="rId1" Type="http://schemas.microsoft.com/office/2011/relationships/chartStyle" Target="style6.xml" /></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 /><Relationship Id="rId2" Type="http://schemas.microsoft.com/office/2011/relationships/chartColorStyle" Target="colors7.xml" /><Relationship Id="rId1" Type="http://schemas.microsoft.com/office/2011/relationships/chartStyle" Target="style7.xml" /><Relationship Id="rId4" Type="http://schemas.openxmlformats.org/officeDocument/2006/relationships/package" Target="../embeddings/Microsoft_Excel_Worksheet5.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rgbClr val="FF0000"/>
                </a:solidFill>
                <a:latin typeface="+mn-lt"/>
                <a:ea typeface="+mn-ea"/>
                <a:cs typeface="+mn-cs"/>
              </a:defRPr>
            </a:pPr>
            <a:r>
              <a:rPr lang="en-US" sz="1100" b="1">
                <a:solidFill>
                  <a:srgbClr val="FF0000"/>
                </a:solidFill>
              </a:rPr>
              <a:t>Eğitim Bütçesinin GSYH ve Merkezi Yönetim Bütçesine Oranı</a:t>
            </a:r>
            <a:r>
              <a:rPr lang="tr-TR" sz="1100" b="1">
                <a:solidFill>
                  <a:srgbClr val="FF0000"/>
                </a:solidFill>
              </a:rPr>
              <a:t> (%)</a:t>
            </a:r>
            <a:endParaRPr lang="en-US" sz="1100" b="1">
              <a:solidFill>
                <a:srgbClr val="FF0000"/>
              </a:solidFill>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rgbClr val="FF0000"/>
              </a:solidFill>
              <a:latin typeface="+mn-lt"/>
              <a:ea typeface="+mn-ea"/>
              <a:cs typeface="+mn-cs"/>
            </a:defRPr>
          </a:pPr>
          <a:endParaRPr lang="tr-TR"/>
        </a:p>
      </c:txPr>
    </c:title>
    <c:autoTitleDeleted val="0"/>
    <c:plotArea>
      <c:layout/>
      <c:scatterChart>
        <c:scatterStyle val="lineMarker"/>
        <c:varyColors val="0"/>
        <c:ser>
          <c:idx val="0"/>
          <c:order val="0"/>
          <c:tx>
            <c:strRef>
              <c:f>Sayfa5!$E$464</c:f>
              <c:strCache>
                <c:ptCount val="1"/>
                <c:pt idx="0">
                  <c:v>Merkezi Yön.Büt.İçindeki Payı(%)</c:v>
                </c:pt>
              </c:strCache>
            </c:strRef>
          </c:tx>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Sayfa5!$D$466:$D$486</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numCache>
            </c:numRef>
          </c:xVal>
          <c:yVal>
            <c:numRef>
              <c:f>Sayfa5!$E$466:$E$486</c:f>
              <c:numCache>
                <c:formatCode>General</c:formatCode>
                <c:ptCount val="21"/>
                <c:pt idx="0">
                  <c:v>9.58</c:v>
                </c:pt>
                <c:pt idx="1">
                  <c:v>11.67</c:v>
                </c:pt>
                <c:pt idx="2">
                  <c:v>13.63</c:v>
                </c:pt>
                <c:pt idx="3">
                  <c:v>13.77</c:v>
                </c:pt>
                <c:pt idx="4">
                  <c:v>14.54</c:v>
                </c:pt>
                <c:pt idx="5">
                  <c:v>14.52</c:v>
                </c:pt>
                <c:pt idx="6">
                  <c:v>14.74</c:v>
                </c:pt>
                <c:pt idx="7">
                  <c:v>14.11</c:v>
                </c:pt>
                <c:pt idx="8">
                  <c:v>15.72</c:v>
                </c:pt>
                <c:pt idx="9">
                  <c:v>16.13</c:v>
                </c:pt>
                <c:pt idx="10">
                  <c:v>16.920000000000002</c:v>
                </c:pt>
                <c:pt idx="11">
                  <c:v>18.13</c:v>
                </c:pt>
                <c:pt idx="12">
                  <c:v>18.59</c:v>
                </c:pt>
                <c:pt idx="13">
                  <c:v>19.239999999999998</c:v>
                </c:pt>
                <c:pt idx="14">
                  <c:v>18.98</c:v>
                </c:pt>
                <c:pt idx="15">
                  <c:v>17.66</c:v>
                </c:pt>
                <c:pt idx="16">
                  <c:v>16.809999999999999</c:v>
                </c:pt>
                <c:pt idx="17">
                  <c:v>16.100000000000001</c:v>
                </c:pt>
                <c:pt idx="18">
                  <c:v>15.7</c:v>
                </c:pt>
                <c:pt idx="19">
                  <c:v>14.14</c:v>
                </c:pt>
                <c:pt idx="20">
                  <c:v>14.53</c:v>
                </c:pt>
              </c:numCache>
            </c:numRef>
          </c:yVal>
          <c:smooth val="0"/>
          <c:extLst>
            <c:ext xmlns:c16="http://schemas.microsoft.com/office/drawing/2014/chart" uri="{C3380CC4-5D6E-409C-BE32-E72D297353CC}">
              <c16:uniqueId val="{00000000-BEA3-457F-8DC8-683167B9F839}"/>
            </c:ext>
          </c:extLst>
        </c:ser>
        <c:ser>
          <c:idx val="1"/>
          <c:order val="1"/>
          <c:tx>
            <c:strRef>
              <c:f>Sayfa5!$F$464</c:f>
              <c:strCache>
                <c:ptCount val="1"/>
                <c:pt idx="0">
                  <c:v>GSYH oranı (%)</c:v>
                </c:pt>
              </c:strCache>
            </c:strRef>
          </c:tx>
          <c:spPr>
            <a:ln w="190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Sayfa5!$D$466:$D$486</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numCache>
            </c:numRef>
          </c:xVal>
          <c:yVal>
            <c:numRef>
              <c:f>Sayfa5!$F$466:$F$486</c:f>
              <c:numCache>
                <c:formatCode>General</c:formatCode>
                <c:ptCount val="21"/>
                <c:pt idx="0">
                  <c:v>3.1</c:v>
                </c:pt>
                <c:pt idx="1">
                  <c:v>3.15</c:v>
                </c:pt>
                <c:pt idx="2">
                  <c:v>3.28</c:v>
                </c:pt>
                <c:pt idx="3">
                  <c:v>3.18</c:v>
                </c:pt>
                <c:pt idx="4">
                  <c:v>3.54</c:v>
                </c:pt>
                <c:pt idx="5">
                  <c:v>3.4</c:v>
                </c:pt>
                <c:pt idx="6">
                  <c:v>4.0599999999999996</c:v>
                </c:pt>
                <c:pt idx="7">
                  <c:v>3.68</c:v>
                </c:pt>
                <c:pt idx="8">
                  <c:v>3.79</c:v>
                </c:pt>
                <c:pt idx="9">
                  <c:v>3.99</c:v>
                </c:pt>
                <c:pt idx="10">
                  <c:v>4.3600000000000003</c:v>
                </c:pt>
                <c:pt idx="11">
                  <c:v>4.51</c:v>
                </c:pt>
                <c:pt idx="12">
                  <c:v>3.76</c:v>
                </c:pt>
                <c:pt idx="13">
                  <c:v>4.21</c:v>
                </c:pt>
                <c:pt idx="14">
                  <c:v>4.03</c:v>
                </c:pt>
                <c:pt idx="15">
                  <c:v>3.91</c:v>
                </c:pt>
                <c:pt idx="16">
                  <c:v>3.63</c:v>
                </c:pt>
                <c:pt idx="17">
                  <c:v>3.65</c:v>
                </c:pt>
                <c:pt idx="18">
                  <c:v>3.76</c:v>
                </c:pt>
                <c:pt idx="19">
                  <c:v>3.47</c:v>
                </c:pt>
                <c:pt idx="20">
                  <c:v>3.48</c:v>
                </c:pt>
              </c:numCache>
            </c:numRef>
          </c:yVal>
          <c:smooth val="0"/>
          <c:extLst>
            <c:ext xmlns:c16="http://schemas.microsoft.com/office/drawing/2014/chart" uri="{C3380CC4-5D6E-409C-BE32-E72D297353CC}">
              <c16:uniqueId val="{00000001-BEA3-457F-8DC8-683167B9F839}"/>
            </c:ext>
          </c:extLst>
        </c:ser>
        <c:dLbls>
          <c:dLblPos val="t"/>
          <c:showLegendKey val="0"/>
          <c:showVal val="1"/>
          <c:showCatName val="0"/>
          <c:showSerName val="0"/>
          <c:showPercent val="0"/>
          <c:showBubbleSize val="0"/>
        </c:dLbls>
        <c:axId val="330387064"/>
        <c:axId val="330385496"/>
      </c:scatterChart>
      <c:valAx>
        <c:axId val="3303870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tr-TR"/>
          </a:p>
        </c:txPr>
        <c:crossAx val="330385496"/>
        <c:crosses val="autoZero"/>
        <c:crossBetween val="midCat"/>
      </c:valAx>
      <c:valAx>
        <c:axId val="3303854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tr-TR"/>
          </a:p>
        </c:txPr>
        <c:crossAx val="3303870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solidFill>
                  <a:srgbClr val="C00000"/>
                </a:solidFill>
              </a:rPr>
              <a:t>MEB Bütçelerinin Merkezi Yönetim Bütçesi İçindeki Payı ve GSYH’ye Oranı</a:t>
            </a:r>
            <a:r>
              <a:rPr lang="tr-TR" sz="1100" b="1">
                <a:solidFill>
                  <a:srgbClr val="C00000"/>
                </a:solidFill>
              </a:rPr>
              <a:t>-2023</a:t>
            </a:r>
            <a:endParaRPr lang="en-US" sz="1100" b="1">
              <a:solidFill>
                <a:srgbClr val="C00000"/>
              </a:solidFill>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Sayfa5!$D$399</c:f>
              <c:strCache>
                <c:ptCount val="1"/>
                <c:pt idx="0">
                  <c:v>MEB Bütçesinin Merkezi Yönetim Bütçesi içindeki Payı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Sayfa5!$C$401:$C$421</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numCache>
            </c:numRef>
          </c:cat>
          <c:val>
            <c:numRef>
              <c:f>Sayfa5!$D$401:$D$421</c:f>
              <c:numCache>
                <c:formatCode>General</c:formatCode>
                <c:ptCount val="21"/>
                <c:pt idx="0">
                  <c:v>6.91</c:v>
                </c:pt>
                <c:pt idx="1">
                  <c:v>8.2100000000000009</c:v>
                </c:pt>
                <c:pt idx="2">
                  <c:v>9.5</c:v>
                </c:pt>
                <c:pt idx="3">
                  <c:v>9.4700000000000006</c:v>
                </c:pt>
                <c:pt idx="4">
                  <c:v>10.42</c:v>
                </c:pt>
                <c:pt idx="5">
                  <c:v>10.3</c:v>
                </c:pt>
                <c:pt idx="6">
                  <c:v>10.47</c:v>
                </c:pt>
                <c:pt idx="7">
                  <c:v>9.84</c:v>
                </c:pt>
                <c:pt idx="8">
                  <c:v>10.91</c:v>
                </c:pt>
                <c:pt idx="9">
                  <c:v>11.16</c:v>
                </c:pt>
                <c:pt idx="10">
                  <c:v>11.76</c:v>
                </c:pt>
                <c:pt idx="11">
                  <c:v>12.81</c:v>
                </c:pt>
                <c:pt idx="12">
                  <c:v>13.11</c:v>
                </c:pt>
                <c:pt idx="13">
                  <c:v>13.38</c:v>
                </c:pt>
                <c:pt idx="14">
                  <c:v>13.18</c:v>
                </c:pt>
                <c:pt idx="15">
                  <c:v>12.13</c:v>
                </c:pt>
                <c:pt idx="16">
                  <c:v>11.85</c:v>
                </c:pt>
                <c:pt idx="17">
                  <c:v>11.44</c:v>
                </c:pt>
                <c:pt idx="18">
                  <c:v>10.91</c:v>
                </c:pt>
                <c:pt idx="19">
                  <c:v>10.79</c:v>
                </c:pt>
                <c:pt idx="20">
                  <c:v>9.74</c:v>
                </c:pt>
              </c:numCache>
            </c:numRef>
          </c:val>
          <c:smooth val="0"/>
          <c:extLst>
            <c:ext xmlns:c16="http://schemas.microsoft.com/office/drawing/2014/chart" uri="{C3380CC4-5D6E-409C-BE32-E72D297353CC}">
              <c16:uniqueId val="{00000000-47B6-4E46-AB38-4F1048AB6CE9}"/>
            </c:ext>
          </c:extLst>
        </c:ser>
        <c:ser>
          <c:idx val="1"/>
          <c:order val="1"/>
          <c:tx>
            <c:strRef>
              <c:f>Sayfa5!$E$399</c:f>
              <c:strCache>
                <c:ptCount val="1"/>
                <c:pt idx="0">
                  <c:v>MEB Bütçesinin GSYH’ye Oranı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Sayfa5!$C$401:$C$421</c:f>
              <c:numCache>
                <c:formatCode>General</c:formatCode>
                <c:ptCount val="21"/>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numCache>
            </c:numRef>
          </c:cat>
          <c:val>
            <c:numRef>
              <c:f>Sayfa5!$E$401:$E$421</c:f>
              <c:numCache>
                <c:formatCode>General</c:formatCode>
                <c:ptCount val="21"/>
                <c:pt idx="0">
                  <c:v>2.2400000000000002</c:v>
                </c:pt>
                <c:pt idx="1">
                  <c:v>2.21</c:v>
                </c:pt>
                <c:pt idx="2">
                  <c:v>2.29</c:v>
                </c:pt>
                <c:pt idx="3">
                  <c:v>2.1800000000000002</c:v>
                </c:pt>
                <c:pt idx="4">
                  <c:v>2.5299999999999998</c:v>
                </c:pt>
                <c:pt idx="5">
                  <c:v>2.41</c:v>
                </c:pt>
                <c:pt idx="6">
                  <c:v>2.88</c:v>
                </c:pt>
                <c:pt idx="7">
                  <c:v>2.57</c:v>
                </c:pt>
                <c:pt idx="8">
                  <c:v>2.63</c:v>
                </c:pt>
                <c:pt idx="9">
                  <c:v>2.76</c:v>
                </c:pt>
                <c:pt idx="10">
                  <c:v>3.03</c:v>
                </c:pt>
                <c:pt idx="11">
                  <c:v>3.19</c:v>
                </c:pt>
                <c:pt idx="12">
                  <c:v>2.65</c:v>
                </c:pt>
                <c:pt idx="13">
                  <c:v>2.93</c:v>
                </c:pt>
                <c:pt idx="14">
                  <c:v>2.8</c:v>
                </c:pt>
                <c:pt idx="15">
                  <c:v>2.69</c:v>
                </c:pt>
                <c:pt idx="16">
                  <c:v>2.56</c:v>
                </c:pt>
                <c:pt idx="17">
                  <c:v>2.57</c:v>
                </c:pt>
                <c:pt idx="18">
                  <c:v>2.6</c:v>
                </c:pt>
                <c:pt idx="19">
                  <c:v>2.39</c:v>
                </c:pt>
                <c:pt idx="20">
                  <c:v>2.33</c:v>
                </c:pt>
              </c:numCache>
            </c:numRef>
          </c:val>
          <c:smooth val="0"/>
          <c:extLst>
            <c:ext xmlns:c16="http://schemas.microsoft.com/office/drawing/2014/chart" uri="{C3380CC4-5D6E-409C-BE32-E72D297353CC}">
              <c16:uniqueId val="{00000001-47B6-4E46-AB38-4F1048AB6CE9}"/>
            </c:ext>
          </c:extLst>
        </c:ser>
        <c:dLbls>
          <c:dLblPos val="t"/>
          <c:showLegendKey val="0"/>
          <c:showVal val="1"/>
          <c:showCatName val="0"/>
          <c:showSerName val="0"/>
          <c:showPercent val="0"/>
          <c:showBubbleSize val="0"/>
        </c:dLbls>
        <c:smooth val="0"/>
        <c:axId val="330380008"/>
        <c:axId val="330390200"/>
      </c:lineChart>
      <c:catAx>
        <c:axId val="3303800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tr-TR"/>
          </a:p>
        </c:txPr>
        <c:crossAx val="330390200"/>
        <c:crosses val="autoZero"/>
        <c:auto val="1"/>
        <c:lblAlgn val="ctr"/>
        <c:lblOffset val="100"/>
        <c:noMultiLvlLbl val="0"/>
      </c:catAx>
      <c:valAx>
        <c:axId val="3303902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tr-TR"/>
          </a:p>
        </c:txPr>
        <c:crossAx val="33038000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tr-TR"/>
          </a:p>
        </c:txPr>
      </c:legendEntry>
      <c:legendEntry>
        <c:idx val="1"/>
        <c:txPr>
          <a:bodyPr rot="0" spcFirstLastPara="1" vertOverflow="ellipsis" vert="horz" wrap="square" anchor="ctr" anchorCtr="1"/>
          <a:lstStyle/>
          <a:p>
            <a:pPr>
              <a:defRPr sz="1000" b="1" i="0" u="none" strike="noStrike" kern="1200" baseline="0">
                <a:solidFill>
                  <a:schemeClr val="accent2">
                    <a:lumMod val="75000"/>
                  </a:schemeClr>
                </a:solidFill>
                <a:latin typeface="+mn-lt"/>
                <a:ea typeface="+mn-ea"/>
                <a:cs typeface="+mn-cs"/>
              </a:defRPr>
            </a:pPr>
            <a:endParaRPr lang="tr-TR"/>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100" baseline="0">
                <a:solidFill>
                  <a:srgbClr val="FFFF00"/>
                </a:solidFill>
                <a:effectLst>
                  <a:outerShdw blurRad="50800" dist="38100" dir="5400000" algn="t" rotWithShape="0">
                    <a:prstClr val="black">
                      <a:alpha val="40000"/>
                    </a:prstClr>
                  </a:outerShdw>
                </a:effectLst>
                <a:latin typeface="+mn-lt"/>
                <a:ea typeface="+mn-ea"/>
                <a:cs typeface="+mn-cs"/>
              </a:defRPr>
            </a:pPr>
            <a:r>
              <a:rPr lang="en-US" sz="1200">
                <a:solidFill>
                  <a:srgbClr val="FFFF00"/>
                </a:solidFill>
              </a:rPr>
              <a:t>MİLLİ EĞİTİM BAKANLIĞI BÜTÇESİ</a:t>
            </a:r>
            <a:endParaRPr lang="tr-TR" sz="1200">
              <a:solidFill>
                <a:srgbClr val="FFFF00"/>
              </a:solidFill>
            </a:endParaRPr>
          </a:p>
          <a:p>
            <a:pPr>
              <a:defRPr sz="1200" b="1" i="0" u="none" strike="noStrike" kern="1200" spc="100" baseline="0">
                <a:solidFill>
                  <a:srgbClr val="FFFF00"/>
                </a:solidFill>
                <a:effectLst>
                  <a:outerShdw blurRad="50800" dist="38100" dir="5400000" algn="t" rotWithShape="0">
                    <a:prstClr val="black">
                      <a:alpha val="40000"/>
                    </a:prstClr>
                  </a:outerShdw>
                </a:effectLst>
                <a:latin typeface="+mn-lt"/>
                <a:ea typeface="+mn-ea"/>
                <a:cs typeface="+mn-cs"/>
              </a:defRPr>
            </a:pPr>
            <a:r>
              <a:rPr lang="tr-TR" sz="1200">
                <a:solidFill>
                  <a:srgbClr val="FFFF00"/>
                </a:solidFill>
              </a:rPr>
              <a:t>(2023)</a:t>
            </a:r>
            <a:endParaRPr lang="en-US" sz="1200">
              <a:solidFill>
                <a:srgbClr val="FFFF00"/>
              </a:solidFill>
            </a:endParaRPr>
          </a:p>
        </c:rich>
      </c:tx>
      <c:overlay val="0"/>
      <c:spPr>
        <a:noFill/>
        <a:ln>
          <a:noFill/>
        </a:ln>
        <a:effectLst/>
      </c:spPr>
      <c:txPr>
        <a:bodyPr rot="0" spcFirstLastPara="1" vertOverflow="ellipsis" vert="horz" wrap="square" anchor="ctr" anchorCtr="1"/>
        <a:lstStyle/>
        <a:p>
          <a:pPr>
            <a:defRPr sz="1200" b="1" i="0" u="none" strike="noStrike" kern="1200" spc="100" baseline="0">
              <a:solidFill>
                <a:srgbClr val="FFFF00"/>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825595076477516E-2"/>
          <c:y val="0.2704341747001251"/>
          <c:w val="0.83285455697348176"/>
          <c:h val="0.72869551352809869"/>
        </c:manualLayout>
      </c:layout>
      <c:pie3DChart>
        <c:varyColors val="1"/>
        <c:ser>
          <c:idx val="0"/>
          <c:order val="0"/>
          <c:explosion val="40"/>
          <c:dPt>
            <c:idx val="0"/>
            <c:bubble3D val="0"/>
            <c:explosion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B71-4DE1-9BBC-F8E65AEBE9D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B71-4DE1-9BBC-F8E65AEBE9D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B71-4DE1-9BBC-F8E65AEBE9D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1B71-4DE1-9BBC-F8E65AEBE9D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1B71-4DE1-9BBC-F8E65AEBE9D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1B71-4DE1-9BBC-F8E65AEBE9DE}"/>
              </c:ext>
            </c:extLst>
          </c:dPt>
          <c:dLbls>
            <c:dLbl>
              <c:idx val="0"/>
              <c:layout>
                <c:manualLayout>
                  <c:x val="-0.21168582375478928"/>
                  <c:y val="-0.27627394706502817"/>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en-US" sz="1100" baseline="0">
                      <a:solidFill>
                        <a:sysClr val="windowText" lastClr="000000"/>
                      </a:solidFill>
                    </a:endParaRPr>
                  </a:p>
                  <a:p>
                    <a:pPr>
                      <a:defRPr sz="1100" b="1" i="0" u="none" strike="noStrike" kern="1200" baseline="0">
                        <a:solidFill>
                          <a:sysClr val="windowText" lastClr="000000"/>
                        </a:solidFill>
                        <a:latin typeface="+mn-lt"/>
                        <a:ea typeface="+mn-ea"/>
                        <a:cs typeface="+mn-cs"/>
                      </a:defRPr>
                    </a:pPr>
                    <a:r>
                      <a:rPr lang="en-US" sz="1100" baseline="0">
                        <a:solidFill>
                          <a:sysClr val="windowText" lastClr="000000"/>
                        </a:solidFill>
                      </a:rPr>
                      <a:t>PERSONEL GİDERLERİ</a:t>
                    </a:r>
                  </a:p>
                  <a:p>
                    <a:pPr>
                      <a:defRPr sz="1100" b="1" i="0" u="none" strike="noStrike" kern="1200" baseline="0">
                        <a:solidFill>
                          <a:sysClr val="windowText" lastClr="000000"/>
                        </a:solidFill>
                        <a:latin typeface="+mn-lt"/>
                        <a:ea typeface="+mn-ea"/>
                        <a:cs typeface="+mn-cs"/>
                      </a:defRPr>
                    </a:pPr>
                    <a:r>
                      <a:rPr lang="en-US" sz="1100" baseline="0">
                        <a:solidFill>
                          <a:sysClr val="windowText" lastClr="000000"/>
                        </a:solidFill>
                      </a:rPr>
                      <a:t>68%</a:t>
                    </a:r>
                    <a:endParaRPr lang="en-US" sz="110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tr-TR"/>
                </a:p>
              </c:txPr>
              <c:dLblPos val="bestFit"/>
              <c:showLegendKey val="0"/>
              <c:showVal val="1"/>
              <c:showCatName val="0"/>
              <c:showSerName val="0"/>
              <c:showPercent val="1"/>
              <c:showBubbleSize val="0"/>
              <c:extLst>
                <c:ext xmlns:c15="http://schemas.microsoft.com/office/drawing/2012/chart" uri="{CE6537A1-D6FC-4f65-9D91-7224C49458BB}">
                  <c15:layout>
                    <c:manualLayout>
                      <c:w val="0.21408045977011494"/>
                      <c:h val="0.30919003115264798"/>
                    </c:manualLayout>
                  </c15:layout>
                  <c15:showDataLabelsRange val="0"/>
                </c:ext>
                <c:ext xmlns:c16="http://schemas.microsoft.com/office/drawing/2014/chart" uri="{C3380CC4-5D6E-409C-BE32-E72D297353CC}">
                  <c16:uniqueId val="{00000001-1B71-4DE1-9BBC-F8E65AEBE9DE}"/>
                </c:ext>
              </c:extLst>
            </c:dLbl>
            <c:dLbl>
              <c:idx val="1"/>
              <c:tx>
                <c:rich>
                  <a:bodyPr/>
                  <a:lstStyle/>
                  <a:p>
                    <a:r>
                      <a:rPr lang="en-US" baseline="0"/>
                      <a:t>SOS. GÜV. DEV. PRİMİ. GİD 10,37%</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1B71-4DE1-9BBC-F8E65AEBE9DE}"/>
                </c:ext>
              </c:extLst>
            </c:dLbl>
            <c:dLbl>
              <c:idx val="2"/>
              <c:tx>
                <c:rich>
                  <a:bodyPr/>
                  <a:lstStyle/>
                  <a:p>
                    <a:r>
                      <a:rPr lang="en-US" baseline="0"/>
                      <a:t>MAL VE HİZMET ALIM GİD. 8,95</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1B71-4DE1-9BBC-F8E65AEBE9DE}"/>
                </c:ext>
              </c:extLst>
            </c:dLbl>
            <c:dLbl>
              <c:idx val="3"/>
              <c:tx>
                <c:rich>
                  <a:bodyPr/>
                  <a:lstStyle/>
                  <a:p>
                    <a:r>
                      <a:rPr lang="en-US" baseline="0"/>
                      <a:t>CARİ TRANSFERLER 3,1</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1B71-4DE1-9BBC-F8E65AEBE9DE}"/>
                </c:ext>
              </c:extLst>
            </c:dLbl>
            <c:dLbl>
              <c:idx val="4"/>
              <c:tx>
                <c:rich>
                  <a:bodyPr rot="0" spcFirstLastPara="1" vertOverflow="ellipsis" vert="horz" wrap="square" lIns="38100" tIns="19050" rIns="38100" bIns="19050" anchor="ctr" anchorCtr="1">
                    <a:spAutoFit/>
                  </a:bodyPr>
                  <a:lstStyle/>
                  <a:p>
                    <a:pPr>
                      <a:defRPr sz="1100" b="1" i="0" u="none" strike="noStrike" kern="1200" baseline="0">
                        <a:solidFill>
                          <a:schemeClr val="accent6"/>
                        </a:solidFill>
                        <a:latin typeface="+mn-lt"/>
                        <a:ea typeface="+mn-ea"/>
                        <a:cs typeface="+mn-cs"/>
                      </a:defRPr>
                    </a:pPr>
                    <a:r>
                      <a:rPr lang="en-US" sz="1100" baseline="0">
                        <a:solidFill>
                          <a:schemeClr val="accent6"/>
                        </a:solidFill>
                      </a:rPr>
                      <a:t> SERMAYE GİDERLERİ 9,17</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6"/>
                      </a:solidFill>
                      <a:latin typeface="+mn-lt"/>
                      <a:ea typeface="+mn-ea"/>
                      <a:cs typeface="+mn-cs"/>
                    </a:defRPr>
                  </a:pPr>
                  <a:endParaRPr lang="tr-TR"/>
                </a:p>
              </c:txP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1B71-4DE1-9BBC-F8E65AEBE9DE}"/>
                </c:ext>
              </c:extLst>
            </c:dLbl>
            <c:dLbl>
              <c:idx val="5"/>
              <c:tx>
                <c:rich>
                  <a:bodyPr/>
                  <a:lstStyle/>
                  <a:p>
                    <a:r>
                      <a:rPr lang="en-US" baseline="0"/>
                      <a:t> SERMAYE TRANSFERLERİ</a:t>
                    </a:r>
                    <a:fld id="{DA206E80-1B4E-4C13-B7FC-433CC7C66C9D}" type="PERCENTAGE">
                      <a:rPr lang="en-US" baseline="0"/>
                      <a:pPr/>
                      <a:t>[YÜZDE]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B71-4DE1-9BBC-F8E65AEBE9D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Sayfa5!$B$25:$B$30</c:f>
              <c:strCache>
                <c:ptCount val="6"/>
                <c:pt idx="0">
                  <c:v>PERSONEL GİDERLERİ</c:v>
                </c:pt>
                <c:pt idx="1">
                  <c:v>SOS.GÜV.DEV.PRİMİ GİD.</c:v>
                </c:pt>
                <c:pt idx="2">
                  <c:v>MAL VE HİZMET ALIM GİD.</c:v>
                </c:pt>
                <c:pt idx="3">
                  <c:v>CARİ TRANSFERLER</c:v>
                </c:pt>
                <c:pt idx="4">
                  <c:v>SERMAYE GİDERLERİ</c:v>
                </c:pt>
                <c:pt idx="5">
                  <c:v>SERMAYE TRANSFERLERİ</c:v>
                </c:pt>
              </c:strCache>
            </c:strRef>
          </c:cat>
          <c:val>
            <c:numRef>
              <c:f>Sayfa5!$C$25:$C$30</c:f>
              <c:numCache>
                <c:formatCode>General</c:formatCode>
                <c:ptCount val="6"/>
                <c:pt idx="0">
                  <c:v>297420913000</c:v>
                </c:pt>
                <c:pt idx="1">
                  <c:v>45175633000</c:v>
                </c:pt>
                <c:pt idx="2">
                  <c:v>38973955000</c:v>
                </c:pt>
                <c:pt idx="3">
                  <c:v>13456059000</c:v>
                </c:pt>
                <c:pt idx="4">
                  <c:v>39964000000</c:v>
                </c:pt>
                <c:pt idx="5">
                  <c:v>360522000</c:v>
                </c:pt>
              </c:numCache>
            </c:numRef>
          </c:val>
          <c:extLst>
            <c:ext xmlns:c16="http://schemas.microsoft.com/office/drawing/2014/chart" uri="{C3380CC4-5D6E-409C-BE32-E72D297353CC}">
              <c16:uniqueId val="{0000000C-1B71-4DE1-9BBC-F8E65AEBE9D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rgbClr val="C00000"/>
                </a:solidFill>
                <a:latin typeface="+mn-lt"/>
                <a:ea typeface="+mn-ea"/>
                <a:cs typeface="+mn-cs"/>
              </a:defRPr>
            </a:pPr>
            <a:r>
              <a:rPr lang="en-US" sz="1100" b="1">
                <a:solidFill>
                  <a:srgbClr val="C00000"/>
                </a:solidFill>
              </a:rPr>
              <a:t>MEB yatırım bütçesi (2018-2023)</a:t>
            </a:r>
          </a:p>
        </c:rich>
      </c:tx>
      <c:overlay val="0"/>
      <c:spPr>
        <a:noFill/>
        <a:ln>
          <a:noFill/>
        </a:ln>
        <a:effectLst/>
      </c:spPr>
      <c:txPr>
        <a:bodyPr rot="0" spcFirstLastPara="1" vertOverflow="ellipsis" vert="horz" wrap="square" anchor="ctr" anchorCtr="1"/>
        <a:lstStyle/>
        <a:p>
          <a:pPr>
            <a:defRPr sz="1100" b="1" i="0" u="none" strike="noStrike" kern="1200" spc="0" baseline="0">
              <a:solidFill>
                <a:srgbClr val="C00000"/>
              </a:solidFill>
              <a:latin typeface="+mn-lt"/>
              <a:ea typeface="+mn-ea"/>
              <a:cs typeface="+mn-cs"/>
            </a:defRPr>
          </a:pPr>
          <a:endParaRPr lang="tr-TR"/>
        </a:p>
      </c:txPr>
    </c:title>
    <c:autoTitleDeleted val="0"/>
    <c:plotArea>
      <c:layout/>
      <c:lineChart>
        <c:grouping val="stacked"/>
        <c:varyColors val="0"/>
        <c:ser>
          <c:idx val="0"/>
          <c:order val="0"/>
          <c:tx>
            <c:strRef>
              <c:f>Sayfa5!$D$87</c:f>
              <c:strCache>
                <c:ptCount val="1"/>
                <c:pt idx="0">
                  <c:v>Merkezi yönetim bütçesi yatırım ödeneğinden MEB yatırımlarına ayrılan pay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Sayfa5!$C$88:$C$113</c:f>
              <c:numCache>
                <c:formatCode>General</c:formatCode>
                <c:ptCount val="2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numCache>
            </c:numRef>
          </c:cat>
          <c:val>
            <c:numRef>
              <c:f>Sayfa5!$D$88:$D$113</c:f>
              <c:numCache>
                <c:formatCode>General</c:formatCode>
                <c:ptCount val="26"/>
                <c:pt idx="0">
                  <c:v>37.33</c:v>
                </c:pt>
                <c:pt idx="1">
                  <c:v>28.96</c:v>
                </c:pt>
                <c:pt idx="2">
                  <c:v>28.35</c:v>
                </c:pt>
                <c:pt idx="3">
                  <c:v>22.28</c:v>
                </c:pt>
                <c:pt idx="4">
                  <c:v>22.34</c:v>
                </c:pt>
                <c:pt idx="5">
                  <c:v>16.440000000000001</c:v>
                </c:pt>
                <c:pt idx="6">
                  <c:v>16.89</c:v>
                </c:pt>
                <c:pt idx="7">
                  <c:v>12.13</c:v>
                </c:pt>
                <c:pt idx="8">
                  <c:v>12.85</c:v>
                </c:pt>
                <c:pt idx="9">
                  <c:v>15.95</c:v>
                </c:pt>
                <c:pt idx="10">
                  <c:v>14.83</c:v>
                </c:pt>
                <c:pt idx="11">
                  <c:v>13.91</c:v>
                </c:pt>
                <c:pt idx="12">
                  <c:v>9.3699999999999992</c:v>
                </c:pt>
                <c:pt idx="13">
                  <c:v>9.31</c:v>
                </c:pt>
                <c:pt idx="14">
                  <c:v>9.31</c:v>
                </c:pt>
                <c:pt idx="15">
                  <c:v>11.81</c:v>
                </c:pt>
                <c:pt idx="16">
                  <c:v>14.26</c:v>
                </c:pt>
                <c:pt idx="17">
                  <c:v>13.58</c:v>
                </c:pt>
                <c:pt idx="18">
                  <c:v>12.25</c:v>
                </c:pt>
                <c:pt idx="19">
                  <c:v>10.93</c:v>
                </c:pt>
                <c:pt idx="20">
                  <c:v>11.25</c:v>
                </c:pt>
                <c:pt idx="21">
                  <c:v>8.6999999999999993</c:v>
                </c:pt>
                <c:pt idx="22">
                  <c:v>9.31</c:v>
                </c:pt>
                <c:pt idx="23">
                  <c:v>10.039999999999999</c:v>
                </c:pt>
                <c:pt idx="24">
                  <c:v>11.51</c:v>
                </c:pt>
                <c:pt idx="25">
                  <c:v>12.65</c:v>
                </c:pt>
              </c:numCache>
            </c:numRef>
          </c:val>
          <c:smooth val="0"/>
          <c:extLst>
            <c:ext xmlns:c16="http://schemas.microsoft.com/office/drawing/2014/chart" uri="{C3380CC4-5D6E-409C-BE32-E72D297353CC}">
              <c16:uniqueId val="{00000000-B83E-4560-B56F-90868411C903}"/>
            </c:ext>
          </c:extLst>
        </c:ser>
        <c:ser>
          <c:idx val="1"/>
          <c:order val="1"/>
          <c:tx>
            <c:strRef>
              <c:f>Sayfa5!$E$87</c:f>
              <c:strCache>
                <c:ptCount val="1"/>
                <c:pt idx="0">
                  <c:v>MEB bütçesinden yatırıma ayrılan pay</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Sayfa5!$C$88:$C$113</c:f>
              <c:numCache>
                <c:formatCode>General</c:formatCode>
                <c:ptCount val="2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numCache>
            </c:numRef>
          </c:cat>
          <c:val>
            <c:numRef>
              <c:f>Sayfa5!$E$88:$E$113</c:f>
              <c:numCache>
                <c:formatCode>General</c:formatCode>
                <c:ptCount val="26"/>
                <c:pt idx="0">
                  <c:v>30.63</c:v>
                </c:pt>
                <c:pt idx="1">
                  <c:v>19.149999999999999</c:v>
                </c:pt>
                <c:pt idx="2">
                  <c:v>19.899999999999999</c:v>
                </c:pt>
                <c:pt idx="3">
                  <c:v>19.27</c:v>
                </c:pt>
                <c:pt idx="4">
                  <c:v>17.18</c:v>
                </c:pt>
                <c:pt idx="5">
                  <c:v>14.53</c:v>
                </c:pt>
                <c:pt idx="6">
                  <c:v>9.68</c:v>
                </c:pt>
                <c:pt idx="7">
                  <c:v>8.27</c:v>
                </c:pt>
                <c:pt idx="8">
                  <c:v>7.49</c:v>
                </c:pt>
                <c:pt idx="9">
                  <c:v>6.98</c:v>
                </c:pt>
                <c:pt idx="10">
                  <c:v>5.66</c:v>
                </c:pt>
                <c:pt idx="11">
                  <c:v>6.39</c:v>
                </c:pt>
                <c:pt idx="12">
                  <c:v>6.32</c:v>
                </c:pt>
                <c:pt idx="13">
                  <c:v>5.85</c:v>
                </c:pt>
                <c:pt idx="14">
                  <c:v>6.64</c:v>
                </c:pt>
                <c:pt idx="15">
                  <c:v>8.33</c:v>
                </c:pt>
                <c:pt idx="16">
                  <c:v>9.32</c:v>
                </c:pt>
                <c:pt idx="17">
                  <c:v>8.86</c:v>
                </c:pt>
                <c:pt idx="18">
                  <c:v>8.25</c:v>
                </c:pt>
                <c:pt idx="19">
                  <c:v>8.51</c:v>
                </c:pt>
                <c:pt idx="20">
                  <c:v>8.36</c:v>
                </c:pt>
                <c:pt idx="21">
                  <c:v>4.88</c:v>
                </c:pt>
                <c:pt idx="22">
                  <c:v>4.6500000000000004</c:v>
                </c:pt>
                <c:pt idx="23">
                  <c:v>7.69</c:v>
                </c:pt>
                <c:pt idx="24">
                  <c:v>8.0500000000000007</c:v>
                </c:pt>
                <c:pt idx="25">
                  <c:v>9.17</c:v>
                </c:pt>
              </c:numCache>
            </c:numRef>
          </c:val>
          <c:smooth val="0"/>
          <c:extLst>
            <c:ext xmlns:c16="http://schemas.microsoft.com/office/drawing/2014/chart" uri="{C3380CC4-5D6E-409C-BE32-E72D297353CC}">
              <c16:uniqueId val="{00000001-B83E-4560-B56F-90868411C903}"/>
            </c:ext>
          </c:extLst>
        </c:ser>
        <c:dLbls>
          <c:dLblPos val="t"/>
          <c:showLegendKey val="0"/>
          <c:showVal val="1"/>
          <c:showCatName val="0"/>
          <c:showSerName val="0"/>
          <c:showPercent val="0"/>
          <c:showBubbleSize val="0"/>
        </c:dLbls>
        <c:smooth val="0"/>
        <c:axId val="330390984"/>
        <c:axId val="330383928"/>
      </c:lineChart>
      <c:catAx>
        <c:axId val="330390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tr-TR"/>
          </a:p>
        </c:txPr>
        <c:crossAx val="330383928"/>
        <c:crosses val="autoZero"/>
        <c:auto val="1"/>
        <c:lblAlgn val="ctr"/>
        <c:lblOffset val="100"/>
        <c:noMultiLvlLbl val="0"/>
      </c:catAx>
      <c:valAx>
        <c:axId val="3303839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tr-TR"/>
          </a:p>
        </c:txPr>
        <c:crossAx val="330390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rgbClr val="C00000"/>
                </a:solidFill>
                <a:latin typeface="+mn-lt"/>
                <a:ea typeface="+mn-ea"/>
                <a:cs typeface="+mn-cs"/>
              </a:defRPr>
            </a:pPr>
            <a:r>
              <a:rPr lang="tr-TR" sz="1100" b="1">
                <a:solidFill>
                  <a:srgbClr val="C00000"/>
                </a:solidFill>
              </a:rPr>
              <a:t>1997-2023</a:t>
            </a:r>
            <a:r>
              <a:rPr lang="en-US" sz="1100" b="1">
                <a:solidFill>
                  <a:srgbClr val="C00000"/>
                </a:solidFill>
              </a:rPr>
              <a:t> MEB </a:t>
            </a:r>
            <a:r>
              <a:rPr lang="tr-TR" sz="1100" b="1">
                <a:solidFill>
                  <a:srgbClr val="C00000"/>
                </a:solidFill>
              </a:rPr>
              <a:t>bütçesinden</a:t>
            </a:r>
            <a:r>
              <a:rPr lang="tr-TR" sz="1100" b="1" baseline="0">
                <a:solidFill>
                  <a:srgbClr val="C00000"/>
                </a:solidFill>
              </a:rPr>
              <a:t> yatırımlara ayrılan pay. </a:t>
            </a:r>
            <a:r>
              <a:rPr lang="en-US" sz="1100" b="1">
                <a:solidFill>
                  <a:srgbClr val="C00000"/>
                </a:solidFill>
              </a:rPr>
              <a:t>(%)</a:t>
            </a:r>
          </a:p>
        </c:rich>
      </c:tx>
      <c:layout>
        <c:manualLayout>
          <c:xMode val="edge"/>
          <c:yMode val="edge"/>
          <c:x val="0.17287460524031684"/>
          <c:y val="3.476127673554575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rgbClr val="C00000"/>
              </a:solidFill>
              <a:latin typeface="+mn-lt"/>
              <a:ea typeface="+mn-ea"/>
              <a:cs typeface="+mn-cs"/>
            </a:defRPr>
          </a:pPr>
          <a:endParaRPr lang="tr-TR"/>
        </a:p>
      </c:txPr>
    </c:title>
    <c:autoTitleDeleted val="0"/>
    <c:plotArea>
      <c:layout/>
      <c:lineChart>
        <c:grouping val="standard"/>
        <c:varyColors val="0"/>
        <c:ser>
          <c:idx val="0"/>
          <c:order val="0"/>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solidFill>
                <a:prstDash val="sysDot"/>
              </a:ln>
              <a:effectLst/>
            </c:spPr>
            <c:trendlineType val="linear"/>
            <c:dispRSqr val="0"/>
            <c:dispEq val="0"/>
          </c:trendline>
          <c:errBars>
            <c:errDir val="y"/>
            <c:errBarType val="both"/>
            <c:errValType val="stdErr"/>
            <c:noEndCap val="0"/>
            <c:spPr>
              <a:noFill/>
              <a:ln w="9525" cap="flat" cmpd="sng" algn="ctr">
                <a:solidFill>
                  <a:schemeClr val="tx1">
                    <a:lumMod val="65000"/>
                    <a:lumOff val="35000"/>
                  </a:schemeClr>
                </a:solidFill>
                <a:round/>
              </a:ln>
              <a:effectLst/>
            </c:spPr>
          </c:errBars>
          <c:cat>
            <c:numRef>
              <c:f>Sayfa5!$H$51:$H$77</c:f>
              <c:numCache>
                <c:formatCode>General</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numCache>
            </c:numRef>
          </c:cat>
          <c:val>
            <c:numRef>
              <c:f>Sayfa5!$I$51:$I$77</c:f>
              <c:numCache>
                <c:formatCode>General</c:formatCode>
                <c:ptCount val="27"/>
                <c:pt idx="0">
                  <c:v>15.01</c:v>
                </c:pt>
                <c:pt idx="1">
                  <c:v>30.03</c:v>
                </c:pt>
                <c:pt idx="2">
                  <c:v>19.149999999999999</c:v>
                </c:pt>
                <c:pt idx="3">
                  <c:v>19.899999999999999</c:v>
                </c:pt>
                <c:pt idx="4">
                  <c:v>19.27</c:v>
                </c:pt>
                <c:pt idx="5">
                  <c:v>17.18</c:v>
                </c:pt>
                <c:pt idx="6">
                  <c:v>14.53</c:v>
                </c:pt>
                <c:pt idx="7">
                  <c:v>9.68</c:v>
                </c:pt>
                <c:pt idx="8">
                  <c:v>8.27</c:v>
                </c:pt>
                <c:pt idx="9">
                  <c:v>7.49</c:v>
                </c:pt>
                <c:pt idx="10">
                  <c:v>6.98</c:v>
                </c:pt>
                <c:pt idx="11">
                  <c:v>5.66</c:v>
                </c:pt>
                <c:pt idx="12">
                  <c:v>4.57</c:v>
                </c:pt>
                <c:pt idx="13">
                  <c:v>6.32</c:v>
                </c:pt>
                <c:pt idx="14">
                  <c:v>5.85</c:v>
                </c:pt>
                <c:pt idx="15">
                  <c:v>6.64</c:v>
                </c:pt>
                <c:pt idx="16">
                  <c:v>8.32</c:v>
                </c:pt>
                <c:pt idx="17">
                  <c:v>9.32</c:v>
                </c:pt>
                <c:pt idx="18">
                  <c:v>8.86</c:v>
                </c:pt>
                <c:pt idx="19">
                  <c:v>8.23</c:v>
                </c:pt>
                <c:pt idx="20">
                  <c:v>8.51</c:v>
                </c:pt>
                <c:pt idx="21">
                  <c:v>8.36</c:v>
                </c:pt>
                <c:pt idx="22">
                  <c:v>4.88</c:v>
                </c:pt>
                <c:pt idx="23">
                  <c:v>4.6500000000000004</c:v>
                </c:pt>
                <c:pt idx="24">
                  <c:v>7.69</c:v>
                </c:pt>
                <c:pt idx="25">
                  <c:v>8.0500000000000007</c:v>
                </c:pt>
                <c:pt idx="26">
                  <c:v>9.17</c:v>
                </c:pt>
              </c:numCache>
            </c:numRef>
          </c:val>
          <c:smooth val="0"/>
          <c:extLst>
            <c:ext xmlns:c16="http://schemas.microsoft.com/office/drawing/2014/chart" uri="{C3380CC4-5D6E-409C-BE32-E72D297353CC}">
              <c16:uniqueId val="{00000001-4990-42B4-812A-8DF5463CC587}"/>
            </c:ext>
          </c:extLst>
        </c:ser>
        <c:dLbls>
          <c:dLblPos val="t"/>
          <c:showLegendKey val="0"/>
          <c:showVal val="1"/>
          <c:showCatName val="0"/>
          <c:showSerName val="0"/>
          <c:showPercent val="0"/>
          <c:showBubbleSize val="0"/>
        </c:dLbls>
        <c:smooth val="0"/>
        <c:axId val="330385888"/>
        <c:axId val="330389024"/>
      </c:lineChart>
      <c:catAx>
        <c:axId val="33038588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tr-TR"/>
          </a:p>
        </c:txPr>
        <c:crossAx val="330389024"/>
        <c:crosses val="autoZero"/>
        <c:auto val="1"/>
        <c:lblAlgn val="ctr"/>
        <c:lblOffset val="100"/>
        <c:noMultiLvlLbl val="0"/>
      </c:catAx>
      <c:valAx>
        <c:axId val="3303890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accent6">
                    <a:lumMod val="75000"/>
                  </a:schemeClr>
                </a:solidFill>
                <a:latin typeface="+mn-lt"/>
                <a:ea typeface="+mn-ea"/>
                <a:cs typeface="+mn-cs"/>
              </a:defRPr>
            </a:pPr>
            <a:endParaRPr lang="tr-TR"/>
          </a:p>
        </c:txPr>
        <c:crossAx val="33038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C00000"/>
                </a:solidFill>
                <a:latin typeface="+mn-lt"/>
                <a:ea typeface="+mn-ea"/>
                <a:cs typeface="+mn-cs"/>
              </a:defRPr>
            </a:pPr>
            <a:r>
              <a:rPr lang="en-US" sz="1200" b="1">
                <a:solidFill>
                  <a:srgbClr val="C00000"/>
                </a:solidFill>
              </a:rPr>
              <a:t>MEB </a:t>
            </a:r>
            <a:r>
              <a:rPr lang="tr-TR" sz="1200" b="1">
                <a:solidFill>
                  <a:srgbClr val="C00000"/>
                </a:solidFill>
              </a:rPr>
              <a:t>Bütçesinin</a:t>
            </a:r>
            <a:r>
              <a:rPr lang="tr-TR" sz="1200" b="1" baseline="0">
                <a:solidFill>
                  <a:srgbClr val="C00000"/>
                </a:solidFill>
              </a:rPr>
              <a:t> Dağılımı (TL)</a:t>
            </a:r>
            <a:endParaRPr lang="en-US" sz="1200" b="1">
              <a:solidFill>
                <a:srgbClr val="C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C00000"/>
              </a:solidFill>
              <a:latin typeface="+mn-lt"/>
              <a:ea typeface="+mn-ea"/>
              <a:cs typeface="+mn-cs"/>
            </a:defRPr>
          </a:pPr>
          <a:endParaRPr lang="tr-TR"/>
        </a:p>
      </c:txPr>
    </c:title>
    <c:autoTitleDeleted val="0"/>
    <c:plotArea>
      <c:layout/>
      <c:barChart>
        <c:barDir val="bar"/>
        <c:grouping val="clustered"/>
        <c:varyColors val="0"/>
        <c:ser>
          <c:idx val="0"/>
          <c:order val="0"/>
          <c:tx>
            <c:strRef>
              <c:f>Sayfa5!$N$679</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Sayfa5!$M$680:$M$686</c:f>
              <c:strCache>
                <c:ptCount val="7"/>
                <c:pt idx="0">
                  <c:v>Okul Öncesi ve İlköğretim Okulları</c:v>
                </c:pt>
                <c:pt idx="1">
                  <c:v>Din Öğretimi Okulları (İlköğretim)</c:v>
                </c:pt>
                <c:pt idx="2">
                  <c:v>Din Öğretimi Okulları (Lise)</c:v>
                </c:pt>
                <c:pt idx="3">
                  <c:v>Mesleki Ve Teknik Eğitim Okulları</c:v>
                </c:pt>
                <c:pt idx="4">
                  <c:v>Genel Ortaöğretim Okulları</c:v>
                </c:pt>
                <c:pt idx="5">
                  <c:v>Özel Öğretim Kurumları Genel Müdürlüğü</c:v>
                </c:pt>
                <c:pt idx="6">
                  <c:v>Kar Amacı Gütmeyen Kuruluşlara Yapılan Transferler</c:v>
                </c:pt>
              </c:strCache>
            </c:strRef>
          </c:cat>
          <c:val>
            <c:numRef>
              <c:f>Sayfa5!$N$680:$N$686</c:f>
              <c:numCache>
                <c:formatCode>#,##0</c:formatCode>
                <c:ptCount val="7"/>
                <c:pt idx="0">
                  <c:v>91964424000</c:v>
                </c:pt>
                <c:pt idx="1">
                  <c:v>5583331000</c:v>
                </c:pt>
                <c:pt idx="2">
                  <c:v>8838571000</c:v>
                </c:pt>
                <c:pt idx="3">
                  <c:v>22787690000</c:v>
                </c:pt>
                <c:pt idx="4">
                  <c:v>18240467000</c:v>
                </c:pt>
                <c:pt idx="5">
                  <c:v>6566842000</c:v>
                </c:pt>
                <c:pt idx="6">
                  <c:v>2275188000</c:v>
                </c:pt>
              </c:numCache>
            </c:numRef>
          </c:val>
          <c:extLst>
            <c:ext xmlns:c16="http://schemas.microsoft.com/office/drawing/2014/chart" uri="{C3380CC4-5D6E-409C-BE32-E72D297353CC}">
              <c16:uniqueId val="{00000000-B3D4-48EC-9BFE-0866E7623FA7}"/>
            </c:ext>
          </c:extLst>
        </c:ser>
        <c:ser>
          <c:idx val="1"/>
          <c:order val="1"/>
          <c:tx>
            <c:strRef>
              <c:f>Sayfa5!$O$679</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Sayfa5!$M$680:$M$686</c:f>
              <c:strCache>
                <c:ptCount val="7"/>
                <c:pt idx="0">
                  <c:v>Okul Öncesi ve İlköğretim Okulları</c:v>
                </c:pt>
                <c:pt idx="1">
                  <c:v>Din Öğretimi Okulları (İlköğretim)</c:v>
                </c:pt>
                <c:pt idx="2">
                  <c:v>Din Öğretimi Okulları (Lise)</c:v>
                </c:pt>
                <c:pt idx="3">
                  <c:v>Mesleki Ve Teknik Eğitim Okulları</c:v>
                </c:pt>
                <c:pt idx="4">
                  <c:v>Genel Ortaöğretim Okulları</c:v>
                </c:pt>
                <c:pt idx="5">
                  <c:v>Özel Öğretim Kurumları Genel Müdürlüğü</c:v>
                </c:pt>
                <c:pt idx="6">
                  <c:v>Kar Amacı Gütmeyen Kuruluşlara Yapılan Transferler</c:v>
                </c:pt>
              </c:strCache>
            </c:strRef>
          </c:cat>
          <c:val>
            <c:numRef>
              <c:f>Sayfa5!$O$680:$O$686</c:f>
              <c:numCache>
                <c:formatCode>#,##0</c:formatCode>
                <c:ptCount val="7"/>
                <c:pt idx="0">
                  <c:v>201742612000</c:v>
                </c:pt>
                <c:pt idx="1">
                  <c:v>10611712000</c:v>
                </c:pt>
                <c:pt idx="2">
                  <c:v>22841192000</c:v>
                </c:pt>
                <c:pt idx="3">
                  <c:v>51957019000</c:v>
                </c:pt>
                <c:pt idx="4">
                  <c:v>48376228000</c:v>
                </c:pt>
                <c:pt idx="5">
                  <c:v>13829316000</c:v>
                </c:pt>
                <c:pt idx="6">
                  <c:v>4134781000</c:v>
                </c:pt>
              </c:numCache>
            </c:numRef>
          </c:val>
          <c:extLst>
            <c:ext xmlns:c16="http://schemas.microsoft.com/office/drawing/2014/chart" uri="{C3380CC4-5D6E-409C-BE32-E72D297353CC}">
              <c16:uniqueId val="{00000001-B3D4-48EC-9BFE-0866E7623FA7}"/>
            </c:ext>
          </c:extLst>
        </c:ser>
        <c:dLbls>
          <c:dLblPos val="outEnd"/>
          <c:showLegendKey val="0"/>
          <c:showVal val="1"/>
          <c:showCatName val="0"/>
          <c:showSerName val="0"/>
          <c:showPercent val="0"/>
          <c:showBubbleSize val="0"/>
        </c:dLbls>
        <c:gapWidth val="182"/>
        <c:axId val="320511328"/>
        <c:axId val="320515248"/>
      </c:barChart>
      <c:catAx>
        <c:axId val="320511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tr-TR"/>
          </a:p>
        </c:txPr>
        <c:crossAx val="320515248"/>
        <c:crosses val="autoZero"/>
        <c:auto val="1"/>
        <c:lblAlgn val="ctr"/>
        <c:lblOffset val="100"/>
        <c:noMultiLvlLbl val="0"/>
      </c:catAx>
      <c:valAx>
        <c:axId val="3205152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tr-TR"/>
          </a:p>
        </c:txPr>
        <c:crossAx val="32051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rgbClr val="C00000"/>
                </a:solidFill>
                <a:latin typeface="+mn-lt"/>
                <a:ea typeface="+mn-ea"/>
                <a:cs typeface="+mn-cs"/>
              </a:defRPr>
            </a:pPr>
            <a:r>
              <a:rPr lang="en-US" sz="1100" b="1">
                <a:solidFill>
                  <a:srgbClr val="C00000"/>
                </a:solidFill>
              </a:rPr>
              <a:t>YÖK </a:t>
            </a:r>
            <a:r>
              <a:rPr lang="tr-TR" sz="1100" b="1">
                <a:solidFill>
                  <a:srgbClr val="C00000"/>
                </a:solidFill>
              </a:rPr>
              <a:t>ve</a:t>
            </a:r>
            <a:r>
              <a:rPr lang="tr-TR" sz="1100" b="1" baseline="0">
                <a:solidFill>
                  <a:srgbClr val="C00000"/>
                </a:solidFill>
              </a:rPr>
              <a:t> üniversite bütçeleri</a:t>
            </a:r>
            <a:r>
              <a:rPr lang="en-US" sz="1100" b="1">
                <a:solidFill>
                  <a:srgbClr val="C00000"/>
                </a:solidFill>
              </a:rPr>
              <a:t> (200</a:t>
            </a:r>
            <a:r>
              <a:rPr lang="tr-TR" sz="1100" b="1">
                <a:solidFill>
                  <a:srgbClr val="C00000"/>
                </a:solidFill>
              </a:rPr>
              <a:t>2</a:t>
            </a:r>
            <a:r>
              <a:rPr lang="en-US" sz="1100" b="1">
                <a:solidFill>
                  <a:srgbClr val="C00000"/>
                </a:solidFill>
              </a:rPr>
              <a:t>-202</a:t>
            </a:r>
            <a:r>
              <a:rPr lang="tr-TR" sz="1100" b="1">
                <a:solidFill>
                  <a:srgbClr val="C00000"/>
                </a:solidFill>
              </a:rPr>
              <a:t>3</a:t>
            </a:r>
            <a:r>
              <a:rPr lang="en-US" sz="1100" b="1">
                <a:solidFill>
                  <a:srgbClr val="C00000"/>
                </a:solidFill>
              </a:rPr>
              <a:t>)</a:t>
            </a:r>
          </a:p>
        </c:rich>
      </c:tx>
      <c:overlay val="0"/>
      <c:spPr>
        <a:noFill/>
        <a:ln>
          <a:noFill/>
        </a:ln>
        <a:effectLst/>
      </c:spPr>
      <c:txPr>
        <a:bodyPr rot="0" spcFirstLastPara="1" vertOverflow="ellipsis" vert="horz" wrap="square" anchor="ctr" anchorCtr="1"/>
        <a:lstStyle/>
        <a:p>
          <a:pPr>
            <a:defRPr sz="1100" b="1" i="0" u="none" strike="noStrike" kern="1200" spc="0" baseline="0">
              <a:solidFill>
                <a:srgbClr val="C00000"/>
              </a:solidFill>
              <a:latin typeface="+mn-lt"/>
              <a:ea typeface="+mn-ea"/>
              <a:cs typeface="+mn-cs"/>
            </a:defRPr>
          </a:pPr>
          <a:endParaRPr lang="tr-TR"/>
        </a:p>
      </c:txPr>
    </c:title>
    <c:autoTitleDeleted val="0"/>
    <c:plotArea>
      <c:layout/>
      <c:lineChart>
        <c:grouping val="standard"/>
        <c:varyColors val="0"/>
        <c:ser>
          <c:idx val="0"/>
          <c:order val="0"/>
          <c:tx>
            <c:strRef>
              <c:f>Sayfa5!$K$609</c:f>
              <c:strCache>
                <c:ptCount val="1"/>
                <c:pt idx="0">
                  <c:v>Merkezi Yönetim Bütçesi İçindeki Payı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5">
                        <a:lumMod val="7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Sayfa5!$J$610:$J$631</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Sayfa5!$K$610:$K$631</c:f>
              <c:numCache>
                <c:formatCode>General</c:formatCode>
                <c:ptCount val="22"/>
                <c:pt idx="0">
                  <c:v>2.54</c:v>
                </c:pt>
                <c:pt idx="1">
                  <c:v>2.3199999999999998</c:v>
                </c:pt>
                <c:pt idx="2">
                  <c:v>2.58</c:v>
                </c:pt>
                <c:pt idx="3">
                  <c:v>3.34</c:v>
                </c:pt>
                <c:pt idx="4">
                  <c:v>3.35</c:v>
                </c:pt>
                <c:pt idx="5">
                  <c:v>3.21</c:v>
                </c:pt>
                <c:pt idx="6">
                  <c:v>3.29</c:v>
                </c:pt>
                <c:pt idx="7">
                  <c:v>3.35</c:v>
                </c:pt>
                <c:pt idx="8">
                  <c:v>3.26</c:v>
                </c:pt>
                <c:pt idx="9">
                  <c:v>3.68</c:v>
                </c:pt>
                <c:pt idx="10">
                  <c:v>3.63</c:v>
                </c:pt>
                <c:pt idx="11">
                  <c:v>3.77</c:v>
                </c:pt>
                <c:pt idx="12">
                  <c:v>3.89</c:v>
                </c:pt>
                <c:pt idx="13">
                  <c:v>3.91</c:v>
                </c:pt>
                <c:pt idx="14">
                  <c:v>4.1399999999999997</c:v>
                </c:pt>
                <c:pt idx="15">
                  <c:v>3.97</c:v>
                </c:pt>
                <c:pt idx="16">
                  <c:v>3.64</c:v>
                </c:pt>
                <c:pt idx="17">
                  <c:v>3.44</c:v>
                </c:pt>
                <c:pt idx="18">
                  <c:v>3.3</c:v>
                </c:pt>
                <c:pt idx="19">
                  <c:v>3.37</c:v>
                </c:pt>
                <c:pt idx="20">
                  <c:v>3.29</c:v>
                </c:pt>
                <c:pt idx="21">
                  <c:v>3.01</c:v>
                </c:pt>
              </c:numCache>
            </c:numRef>
          </c:val>
          <c:smooth val="0"/>
          <c:extLst>
            <c:ext xmlns:c16="http://schemas.microsoft.com/office/drawing/2014/chart" uri="{C3380CC4-5D6E-409C-BE32-E72D297353CC}">
              <c16:uniqueId val="{00000000-312F-4C51-B484-D7568DA0CFB9}"/>
            </c:ext>
          </c:extLst>
        </c:ser>
        <c:ser>
          <c:idx val="1"/>
          <c:order val="1"/>
          <c:tx>
            <c:strRef>
              <c:f>Sayfa5!$L$609</c:f>
              <c:strCache>
                <c:ptCount val="1"/>
                <c:pt idx="0">
                  <c:v>GSYH’ye Oranı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2">
                        <a:lumMod val="7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Dev"/>
            <c:noEndCap val="0"/>
            <c:val val="1"/>
            <c:spPr>
              <a:noFill/>
              <a:ln w="9525" cap="flat" cmpd="sng" algn="ctr">
                <a:solidFill>
                  <a:schemeClr val="tx1">
                    <a:lumMod val="65000"/>
                    <a:lumOff val="35000"/>
                  </a:schemeClr>
                </a:solidFill>
                <a:round/>
              </a:ln>
              <a:effectLst/>
            </c:spPr>
          </c:errBars>
          <c:cat>
            <c:numRef>
              <c:f>Sayfa5!$J$610:$J$631</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Sayfa5!$L$610:$L$631</c:f>
              <c:numCache>
                <c:formatCode>General</c:formatCode>
                <c:ptCount val="22"/>
                <c:pt idx="0">
                  <c:v>0.71</c:v>
                </c:pt>
                <c:pt idx="1">
                  <c:v>0.75</c:v>
                </c:pt>
                <c:pt idx="2">
                  <c:v>0.7</c:v>
                </c:pt>
                <c:pt idx="3">
                  <c:v>0.8</c:v>
                </c:pt>
                <c:pt idx="4">
                  <c:v>0.77</c:v>
                </c:pt>
                <c:pt idx="5">
                  <c:v>0.78</c:v>
                </c:pt>
                <c:pt idx="6">
                  <c:v>0.77</c:v>
                </c:pt>
                <c:pt idx="7">
                  <c:v>0.92</c:v>
                </c:pt>
                <c:pt idx="8">
                  <c:v>0.85</c:v>
                </c:pt>
                <c:pt idx="9">
                  <c:v>0.89</c:v>
                </c:pt>
                <c:pt idx="10">
                  <c:v>0.9</c:v>
                </c:pt>
                <c:pt idx="11">
                  <c:v>0.97</c:v>
                </c:pt>
                <c:pt idx="12">
                  <c:v>0.97</c:v>
                </c:pt>
                <c:pt idx="13">
                  <c:v>0.79</c:v>
                </c:pt>
                <c:pt idx="14">
                  <c:v>0.9</c:v>
                </c:pt>
                <c:pt idx="15">
                  <c:v>0.84</c:v>
                </c:pt>
                <c:pt idx="16">
                  <c:v>0.81</c:v>
                </c:pt>
                <c:pt idx="17">
                  <c:v>0.74</c:v>
                </c:pt>
                <c:pt idx="18">
                  <c:v>0.74</c:v>
                </c:pt>
                <c:pt idx="19">
                  <c:v>0.8</c:v>
                </c:pt>
                <c:pt idx="20">
                  <c:v>0.73</c:v>
                </c:pt>
                <c:pt idx="21">
                  <c:v>0.72</c:v>
                </c:pt>
              </c:numCache>
            </c:numRef>
          </c:val>
          <c:smooth val="0"/>
          <c:extLst>
            <c:ext xmlns:c16="http://schemas.microsoft.com/office/drawing/2014/chart" uri="{C3380CC4-5D6E-409C-BE32-E72D297353CC}">
              <c16:uniqueId val="{00000001-312F-4C51-B484-D7568DA0CFB9}"/>
            </c:ext>
          </c:extLst>
        </c:ser>
        <c:dLbls>
          <c:dLblPos val="t"/>
          <c:showLegendKey val="0"/>
          <c:showVal val="1"/>
          <c:showCatName val="0"/>
          <c:showSerName val="0"/>
          <c:showPercent val="0"/>
          <c:showBubbleSize val="0"/>
        </c:dLbls>
        <c:smooth val="0"/>
        <c:axId val="330386280"/>
        <c:axId val="330388240"/>
      </c:lineChart>
      <c:catAx>
        <c:axId val="330386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tr-TR"/>
          </a:p>
        </c:txPr>
        <c:crossAx val="330388240"/>
        <c:crosses val="autoZero"/>
        <c:auto val="1"/>
        <c:lblAlgn val="ctr"/>
        <c:lblOffset val="100"/>
        <c:noMultiLvlLbl val="0"/>
      </c:catAx>
      <c:valAx>
        <c:axId val="33038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tr-TR"/>
          </a:p>
        </c:txPr>
        <c:crossAx val="330386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554094-8C5D-4844-B190-1B4E376EB9F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1879</Words>
  <Characters>10711</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2023 EĞİTİM BÜTÇESİ</vt:lpstr>
    </vt:vector>
  </TitlesOfParts>
  <Company>TBMM</Company>
  <LinksUpToDate>false</LinksUpToDate>
  <CharactersWithSpaces>12565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EĞİTİM BÜTÇESİ</dc:title>
  <dc:subject/>
  <dc:creator>Ali TAŞTAN</dc:creator>
  <cp:keywords/>
  <dc:description/>
  <cp:lastModifiedBy>Konuk Kullanıcı</cp:lastModifiedBy>
  <cp:revision>2</cp:revision>
  <dcterms:created xsi:type="dcterms:W3CDTF">2022-10-23T10:19:00Z</dcterms:created>
  <dcterms:modified xsi:type="dcterms:W3CDTF">2022-10-23T10:19:00Z</dcterms:modified>
</cp:coreProperties>
</file>