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195D3" w14:textId="34F23D5D" w:rsidR="00472196" w:rsidRDefault="00472196" w:rsidP="00472196">
      <w:pPr>
        <w:spacing w:line="360" w:lineRule="auto"/>
        <w:jc w:val="center"/>
        <w:rPr>
          <w:b/>
          <w:bCs/>
        </w:rPr>
      </w:pPr>
      <w:r>
        <w:rPr>
          <w:b/>
          <w:bCs/>
        </w:rPr>
        <w:t xml:space="preserve">2024 YILI MERKEZİ YÖNETİM BÜTÇESİ PANSİYON ÜCRETLERİNDEKİ ARTIŞA KARŞIN ÜCRET VE MAAŞLARA YAPILACAK ZAM ARTIŞININ MUKAYESE EDİLMESİ </w:t>
      </w:r>
    </w:p>
    <w:p w14:paraId="1639183B" w14:textId="77777777" w:rsidR="00472196" w:rsidRDefault="00472196" w:rsidP="00472196">
      <w:pPr>
        <w:rPr>
          <w:b/>
          <w:bCs/>
        </w:rPr>
      </w:pPr>
    </w:p>
    <w:p w14:paraId="69E9B713" w14:textId="754E4C35" w:rsidR="00C2217E" w:rsidRDefault="00472196" w:rsidP="00472196">
      <w:pPr>
        <w:rPr>
          <w:b/>
          <w:bCs/>
        </w:rPr>
      </w:pPr>
      <w:r>
        <w:rPr>
          <w:b/>
          <w:bCs/>
        </w:rPr>
        <w:t>Tablo 1</w:t>
      </w:r>
      <w:r w:rsidRPr="00472196">
        <w:t xml:space="preserve">. 2023 </w:t>
      </w:r>
      <w:r>
        <w:t>i</w:t>
      </w:r>
      <w:r w:rsidRPr="00472196">
        <w:t xml:space="preserve">le 2024 Yılları Arasında Okullarda Pansiyon Ücretleri (TL-Ücret) </w:t>
      </w:r>
      <w:proofErr w:type="gramStart"/>
      <w:r w:rsidRPr="00472196">
        <w:t>Ve</w:t>
      </w:r>
      <w:proofErr w:type="gramEnd"/>
      <w:r w:rsidRPr="00472196">
        <w:t xml:space="preserve"> Artış Oranı</w:t>
      </w:r>
    </w:p>
    <w:tbl>
      <w:tblPr>
        <w:tblStyle w:val="KlavuzTablo6-Renkli-Vurgu3"/>
        <w:tblW w:w="8846" w:type="dxa"/>
        <w:tblLook w:val="04A0" w:firstRow="1" w:lastRow="0" w:firstColumn="1" w:lastColumn="0" w:noHBand="0" w:noVBand="1"/>
      </w:tblPr>
      <w:tblGrid>
        <w:gridCol w:w="4383"/>
        <w:gridCol w:w="1306"/>
        <w:gridCol w:w="1306"/>
        <w:gridCol w:w="1851"/>
      </w:tblGrid>
      <w:tr w:rsidR="00C2217E" w:rsidRPr="00DE3C94" w14:paraId="0773A32F" w14:textId="77777777" w:rsidTr="00DE3C94">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383" w:type="dxa"/>
            <w:noWrap/>
            <w:hideMark/>
          </w:tcPr>
          <w:p w14:paraId="416B0B25" w14:textId="77777777" w:rsidR="00533273" w:rsidRPr="00533273" w:rsidRDefault="00533273" w:rsidP="00DE3C94">
            <w:pPr>
              <w:spacing w:after="0" w:line="480" w:lineRule="auto"/>
              <w:jc w:val="center"/>
              <w:rPr>
                <w:rFonts w:ascii="Calibri" w:eastAsia="Times New Roman" w:hAnsi="Calibri" w:cs="Calibri"/>
                <w:b/>
                <w:bCs/>
                <w:color w:val="000000"/>
                <w:kern w:val="0"/>
                <w:sz w:val="20"/>
                <w:szCs w:val="20"/>
                <w:lang w:eastAsia="tr-TR"/>
                <w14:ligatures w14:val="none"/>
              </w:rPr>
            </w:pPr>
            <w:r w:rsidRPr="00533273">
              <w:rPr>
                <w:rFonts w:ascii="Calibri" w:eastAsia="Times New Roman" w:hAnsi="Calibri" w:cs="Calibri"/>
                <w:b/>
                <w:bCs/>
                <w:color w:val="000000"/>
                <w:kern w:val="0"/>
                <w:sz w:val="20"/>
                <w:szCs w:val="20"/>
                <w:lang w:eastAsia="tr-TR"/>
                <w14:ligatures w14:val="none"/>
              </w:rPr>
              <w:t>KURUMLAR</w:t>
            </w:r>
          </w:p>
        </w:tc>
        <w:tc>
          <w:tcPr>
            <w:tcW w:w="1306" w:type="dxa"/>
            <w:noWrap/>
            <w:hideMark/>
          </w:tcPr>
          <w:p w14:paraId="42975359" w14:textId="77777777" w:rsidR="00533273" w:rsidRPr="00533273" w:rsidRDefault="00533273" w:rsidP="00DE3C94">
            <w:pPr>
              <w:spacing w:line="48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tr-TR"/>
                <w14:ligatures w14:val="none"/>
              </w:rPr>
            </w:pPr>
            <w:r w:rsidRPr="00533273">
              <w:rPr>
                <w:rFonts w:ascii="Calibri" w:eastAsia="Times New Roman" w:hAnsi="Calibri" w:cs="Calibri"/>
                <w:color w:val="000000"/>
                <w:kern w:val="0"/>
                <w:sz w:val="20"/>
                <w:szCs w:val="20"/>
                <w:lang w:eastAsia="tr-TR"/>
                <w14:ligatures w14:val="none"/>
              </w:rPr>
              <w:t>2023</w:t>
            </w:r>
          </w:p>
        </w:tc>
        <w:tc>
          <w:tcPr>
            <w:tcW w:w="1306" w:type="dxa"/>
            <w:noWrap/>
            <w:hideMark/>
          </w:tcPr>
          <w:p w14:paraId="42654D0E" w14:textId="77777777" w:rsidR="00533273" w:rsidRPr="00533273" w:rsidRDefault="00533273" w:rsidP="00DE3C94">
            <w:pPr>
              <w:spacing w:line="48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tr-TR"/>
                <w14:ligatures w14:val="none"/>
              </w:rPr>
            </w:pPr>
            <w:r w:rsidRPr="00533273">
              <w:rPr>
                <w:rFonts w:ascii="Calibri" w:eastAsia="Times New Roman" w:hAnsi="Calibri" w:cs="Calibri"/>
                <w:color w:val="000000"/>
                <w:kern w:val="0"/>
                <w:sz w:val="20"/>
                <w:szCs w:val="20"/>
                <w:lang w:eastAsia="tr-TR"/>
                <w14:ligatures w14:val="none"/>
              </w:rPr>
              <w:t>2024</w:t>
            </w:r>
          </w:p>
        </w:tc>
        <w:tc>
          <w:tcPr>
            <w:tcW w:w="1851" w:type="dxa"/>
            <w:noWrap/>
            <w:hideMark/>
          </w:tcPr>
          <w:p w14:paraId="4349F61E" w14:textId="77777777" w:rsidR="00533273" w:rsidRPr="00533273" w:rsidRDefault="00533273" w:rsidP="00DE3C94">
            <w:pPr>
              <w:spacing w:line="48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tr-TR"/>
                <w14:ligatures w14:val="none"/>
              </w:rPr>
            </w:pPr>
            <w:r w:rsidRPr="00533273">
              <w:rPr>
                <w:rFonts w:ascii="Calibri" w:eastAsia="Times New Roman" w:hAnsi="Calibri" w:cs="Calibri"/>
                <w:color w:val="000000"/>
                <w:kern w:val="0"/>
                <w:sz w:val="20"/>
                <w:szCs w:val="20"/>
                <w:lang w:eastAsia="tr-TR"/>
                <w14:ligatures w14:val="none"/>
              </w:rPr>
              <w:t>ARTIŞ ORANI</w:t>
            </w:r>
          </w:p>
        </w:tc>
      </w:tr>
      <w:tr w:rsidR="00C2217E" w:rsidRPr="00533273" w14:paraId="1EE2B78C" w14:textId="77777777" w:rsidTr="00DE3C94">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383" w:type="dxa"/>
            <w:noWrap/>
            <w:hideMark/>
          </w:tcPr>
          <w:p w14:paraId="7A480415" w14:textId="77777777" w:rsidR="00533273" w:rsidRPr="00533273" w:rsidRDefault="00533273" w:rsidP="00DE3C94">
            <w:pPr>
              <w:spacing w:line="480" w:lineRule="auto"/>
              <w:jc w:val="center"/>
              <w:rPr>
                <w:rFonts w:ascii="Calibri" w:eastAsia="Times New Roman" w:hAnsi="Calibri" w:cs="Calibri"/>
                <w:color w:val="000000"/>
                <w:kern w:val="0"/>
                <w:lang w:eastAsia="tr-TR"/>
                <w14:ligatures w14:val="none"/>
              </w:rPr>
            </w:pPr>
            <w:r w:rsidRPr="00533273">
              <w:rPr>
                <w:rFonts w:ascii="Calibri" w:eastAsia="Times New Roman" w:hAnsi="Calibri" w:cs="Calibri"/>
                <w:color w:val="000000"/>
                <w:kern w:val="0"/>
                <w:lang w:eastAsia="tr-TR"/>
                <w14:ligatures w14:val="none"/>
              </w:rPr>
              <w:t xml:space="preserve">İlköğretim Kurumları </w:t>
            </w:r>
          </w:p>
        </w:tc>
        <w:tc>
          <w:tcPr>
            <w:tcW w:w="1306" w:type="dxa"/>
            <w:noWrap/>
            <w:hideMark/>
          </w:tcPr>
          <w:p w14:paraId="37D19ACE" w14:textId="488E6EAD" w:rsidR="00533273" w:rsidRPr="00533273" w:rsidRDefault="00533273" w:rsidP="00DE3C94">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tr-TR"/>
                <w14:ligatures w14:val="none"/>
              </w:rPr>
            </w:pPr>
            <w:r w:rsidRPr="00533273">
              <w:rPr>
                <w:rFonts w:ascii="Calibri" w:eastAsia="Times New Roman" w:hAnsi="Calibri" w:cs="Calibri"/>
                <w:color w:val="000000"/>
                <w:kern w:val="0"/>
                <w:lang w:eastAsia="tr-TR"/>
                <w14:ligatures w14:val="none"/>
              </w:rPr>
              <w:t>11</w:t>
            </w:r>
            <w:r>
              <w:rPr>
                <w:rFonts w:ascii="Calibri" w:eastAsia="Times New Roman" w:hAnsi="Calibri" w:cs="Calibri"/>
                <w:color w:val="000000"/>
                <w:kern w:val="0"/>
                <w:lang w:eastAsia="tr-TR"/>
                <w14:ligatures w14:val="none"/>
              </w:rPr>
              <w:t>.</w:t>
            </w:r>
            <w:r w:rsidRPr="00533273">
              <w:rPr>
                <w:rFonts w:ascii="Calibri" w:eastAsia="Times New Roman" w:hAnsi="Calibri" w:cs="Calibri"/>
                <w:color w:val="000000"/>
                <w:kern w:val="0"/>
                <w:lang w:eastAsia="tr-TR"/>
                <w14:ligatures w14:val="none"/>
              </w:rPr>
              <w:t>500</w:t>
            </w:r>
          </w:p>
        </w:tc>
        <w:tc>
          <w:tcPr>
            <w:tcW w:w="1306" w:type="dxa"/>
            <w:noWrap/>
            <w:hideMark/>
          </w:tcPr>
          <w:p w14:paraId="7F2CB05E" w14:textId="465EEF4C" w:rsidR="00533273" w:rsidRPr="00533273" w:rsidRDefault="00533273" w:rsidP="00DE3C94">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tr-TR"/>
                <w14:ligatures w14:val="none"/>
              </w:rPr>
            </w:pPr>
            <w:r w:rsidRPr="00533273">
              <w:rPr>
                <w:rFonts w:ascii="Calibri" w:eastAsia="Times New Roman" w:hAnsi="Calibri" w:cs="Calibri"/>
                <w:color w:val="000000"/>
                <w:kern w:val="0"/>
                <w:lang w:eastAsia="tr-TR"/>
                <w14:ligatures w14:val="none"/>
              </w:rPr>
              <w:t>27</w:t>
            </w:r>
            <w:r>
              <w:rPr>
                <w:rFonts w:ascii="Calibri" w:eastAsia="Times New Roman" w:hAnsi="Calibri" w:cs="Calibri"/>
                <w:color w:val="000000"/>
                <w:kern w:val="0"/>
                <w:lang w:eastAsia="tr-TR"/>
                <w14:ligatures w14:val="none"/>
              </w:rPr>
              <w:t>.</w:t>
            </w:r>
            <w:r w:rsidRPr="00533273">
              <w:rPr>
                <w:rFonts w:ascii="Calibri" w:eastAsia="Times New Roman" w:hAnsi="Calibri" w:cs="Calibri"/>
                <w:color w:val="000000"/>
                <w:kern w:val="0"/>
                <w:lang w:eastAsia="tr-TR"/>
                <w14:ligatures w14:val="none"/>
              </w:rPr>
              <w:t>900</w:t>
            </w:r>
          </w:p>
        </w:tc>
        <w:tc>
          <w:tcPr>
            <w:tcW w:w="1851" w:type="dxa"/>
            <w:noWrap/>
            <w:hideMark/>
          </w:tcPr>
          <w:p w14:paraId="7076F6B0" w14:textId="77777777" w:rsidR="00533273" w:rsidRPr="00533273" w:rsidRDefault="00533273" w:rsidP="00DE3C94">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0000"/>
                <w:kern w:val="0"/>
                <w:lang w:eastAsia="tr-TR"/>
                <w14:ligatures w14:val="none"/>
              </w:rPr>
            </w:pPr>
            <w:r w:rsidRPr="00533273">
              <w:rPr>
                <w:rFonts w:ascii="Calibri" w:eastAsia="Times New Roman" w:hAnsi="Calibri" w:cs="Calibri"/>
                <w:b/>
                <w:bCs/>
                <w:color w:val="FF0000"/>
                <w:kern w:val="0"/>
                <w:lang w:eastAsia="tr-TR"/>
                <w14:ligatures w14:val="none"/>
              </w:rPr>
              <w:t>142,6</w:t>
            </w:r>
          </w:p>
        </w:tc>
      </w:tr>
      <w:tr w:rsidR="00533273" w:rsidRPr="00533273" w14:paraId="596717B7" w14:textId="77777777" w:rsidTr="00DE3C94">
        <w:trPr>
          <w:trHeight w:val="263"/>
        </w:trPr>
        <w:tc>
          <w:tcPr>
            <w:cnfStyle w:val="001000000000" w:firstRow="0" w:lastRow="0" w:firstColumn="1" w:lastColumn="0" w:oddVBand="0" w:evenVBand="0" w:oddHBand="0" w:evenHBand="0" w:firstRowFirstColumn="0" w:firstRowLastColumn="0" w:lastRowFirstColumn="0" w:lastRowLastColumn="0"/>
            <w:tcW w:w="4383" w:type="dxa"/>
            <w:noWrap/>
            <w:hideMark/>
          </w:tcPr>
          <w:p w14:paraId="7AA84834" w14:textId="77777777" w:rsidR="00533273" w:rsidRPr="00533273" w:rsidRDefault="00533273" w:rsidP="00DE3C94">
            <w:pPr>
              <w:spacing w:line="480" w:lineRule="auto"/>
              <w:jc w:val="center"/>
              <w:rPr>
                <w:rFonts w:ascii="Calibri" w:eastAsia="Times New Roman" w:hAnsi="Calibri" w:cs="Calibri"/>
                <w:color w:val="000000"/>
                <w:kern w:val="0"/>
                <w:lang w:eastAsia="tr-TR"/>
                <w14:ligatures w14:val="none"/>
              </w:rPr>
            </w:pPr>
            <w:r w:rsidRPr="00533273">
              <w:rPr>
                <w:rFonts w:ascii="Calibri" w:eastAsia="Times New Roman" w:hAnsi="Calibri" w:cs="Calibri"/>
                <w:color w:val="000000"/>
                <w:kern w:val="0"/>
                <w:lang w:eastAsia="tr-TR"/>
                <w14:ligatures w14:val="none"/>
              </w:rPr>
              <w:t>İlköğretim Kurumları (özel)</w:t>
            </w:r>
          </w:p>
        </w:tc>
        <w:tc>
          <w:tcPr>
            <w:tcW w:w="1306" w:type="dxa"/>
            <w:noWrap/>
            <w:hideMark/>
          </w:tcPr>
          <w:p w14:paraId="24E6E4A2" w14:textId="1B38CFF2" w:rsidR="00533273" w:rsidRPr="00533273" w:rsidRDefault="00533273" w:rsidP="00DE3C94">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tr-TR"/>
                <w14:ligatures w14:val="none"/>
              </w:rPr>
            </w:pPr>
            <w:r w:rsidRPr="00533273">
              <w:rPr>
                <w:rFonts w:ascii="Calibri" w:eastAsia="Times New Roman" w:hAnsi="Calibri" w:cs="Calibri"/>
                <w:color w:val="000000"/>
                <w:kern w:val="0"/>
                <w:lang w:eastAsia="tr-TR"/>
                <w14:ligatures w14:val="none"/>
              </w:rPr>
              <w:t>15</w:t>
            </w:r>
            <w:r>
              <w:rPr>
                <w:rFonts w:ascii="Calibri" w:eastAsia="Times New Roman" w:hAnsi="Calibri" w:cs="Calibri"/>
                <w:color w:val="000000"/>
                <w:kern w:val="0"/>
                <w:lang w:eastAsia="tr-TR"/>
                <w14:ligatures w14:val="none"/>
              </w:rPr>
              <w:t>.</w:t>
            </w:r>
            <w:r w:rsidRPr="00533273">
              <w:rPr>
                <w:rFonts w:ascii="Calibri" w:eastAsia="Times New Roman" w:hAnsi="Calibri" w:cs="Calibri"/>
                <w:color w:val="000000"/>
                <w:kern w:val="0"/>
                <w:lang w:eastAsia="tr-TR"/>
                <w14:ligatures w14:val="none"/>
              </w:rPr>
              <w:t>500</w:t>
            </w:r>
          </w:p>
        </w:tc>
        <w:tc>
          <w:tcPr>
            <w:tcW w:w="1306" w:type="dxa"/>
            <w:noWrap/>
            <w:hideMark/>
          </w:tcPr>
          <w:p w14:paraId="48DDEA80" w14:textId="430F1FF5" w:rsidR="00533273" w:rsidRPr="00533273" w:rsidRDefault="00533273" w:rsidP="00DE3C94">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tr-TR"/>
                <w14:ligatures w14:val="none"/>
              </w:rPr>
            </w:pPr>
            <w:r w:rsidRPr="00533273">
              <w:rPr>
                <w:rFonts w:ascii="Calibri" w:eastAsia="Times New Roman" w:hAnsi="Calibri" w:cs="Calibri"/>
                <w:color w:val="000000"/>
                <w:kern w:val="0"/>
                <w:lang w:eastAsia="tr-TR"/>
                <w14:ligatures w14:val="none"/>
              </w:rPr>
              <w:t>37</w:t>
            </w:r>
            <w:r>
              <w:rPr>
                <w:rFonts w:ascii="Calibri" w:eastAsia="Times New Roman" w:hAnsi="Calibri" w:cs="Calibri"/>
                <w:color w:val="000000"/>
                <w:kern w:val="0"/>
                <w:lang w:eastAsia="tr-TR"/>
                <w14:ligatures w14:val="none"/>
              </w:rPr>
              <w:t>.</w:t>
            </w:r>
            <w:r w:rsidRPr="00533273">
              <w:rPr>
                <w:rFonts w:ascii="Calibri" w:eastAsia="Times New Roman" w:hAnsi="Calibri" w:cs="Calibri"/>
                <w:color w:val="000000"/>
                <w:kern w:val="0"/>
                <w:lang w:eastAsia="tr-TR"/>
                <w14:ligatures w14:val="none"/>
              </w:rPr>
              <w:t>600</w:t>
            </w:r>
          </w:p>
        </w:tc>
        <w:tc>
          <w:tcPr>
            <w:tcW w:w="1851" w:type="dxa"/>
            <w:noWrap/>
            <w:hideMark/>
          </w:tcPr>
          <w:p w14:paraId="047A0D91" w14:textId="77777777" w:rsidR="00533273" w:rsidRPr="00533273" w:rsidRDefault="00533273" w:rsidP="00DE3C94">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0000"/>
                <w:kern w:val="0"/>
                <w:lang w:eastAsia="tr-TR"/>
                <w14:ligatures w14:val="none"/>
              </w:rPr>
            </w:pPr>
            <w:r w:rsidRPr="00533273">
              <w:rPr>
                <w:rFonts w:ascii="Calibri" w:eastAsia="Times New Roman" w:hAnsi="Calibri" w:cs="Calibri"/>
                <w:b/>
                <w:bCs/>
                <w:color w:val="FF0000"/>
                <w:kern w:val="0"/>
                <w:lang w:eastAsia="tr-TR"/>
                <w14:ligatures w14:val="none"/>
              </w:rPr>
              <w:t>142,58</w:t>
            </w:r>
          </w:p>
        </w:tc>
      </w:tr>
      <w:tr w:rsidR="00C2217E" w:rsidRPr="00533273" w14:paraId="23D9C120" w14:textId="77777777" w:rsidTr="00DE3C94">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383" w:type="dxa"/>
            <w:noWrap/>
            <w:hideMark/>
          </w:tcPr>
          <w:p w14:paraId="6305AF7B" w14:textId="77777777" w:rsidR="00533273" w:rsidRPr="00533273" w:rsidRDefault="00533273" w:rsidP="00DE3C94">
            <w:pPr>
              <w:spacing w:line="480" w:lineRule="auto"/>
              <w:jc w:val="center"/>
              <w:rPr>
                <w:rFonts w:ascii="Calibri" w:eastAsia="Times New Roman" w:hAnsi="Calibri" w:cs="Calibri"/>
                <w:color w:val="000000"/>
                <w:kern w:val="0"/>
                <w:lang w:eastAsia="tr-TR"/>
                <w14:ligatures w14:val="none"/>
              </w:rPr>
            </w:pPr>
            <w:r w:rsidRPr="00533273">
              <w:rPr>
                <w:rFonts w:ascii="Calibri" w:eastAsia="Times New Roman" w:hAnsi="Calibri" w:cs="Calibri"/>
                <w:color w:val="000000"/>
                <w:kern w:val="0"/>
                <w:lang w:eastAsia="tr-TR"/>
                <w14:ligatures w14:val="none"/>
              </w:rPr>
              <w:t xml:space="preserve">Ortaöğretim Okulları </w:t>
            </w:r>
          </w:p>
        </w:tc>
        <w:tc>
          <w:tcPr>
            <w:tcW w:w="1306" w:type="dxa"/>
            <w:noWrap/>
            <w:hideMark/>
          </w:tcPr>
          <w:p w14:paraId="6C29E004" w14:textId="6D8E3C5F" w:rsidR="00533273" w:rsidRPr="00533273" w:rsidRDefault="00533273" w:rsidP="00DE3C94">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tr-TR"/>
                <w14:ligatures w14:val="none"/>
              </w:rPr>
            </w:pPr>
            <w:r w:rsidRPr="00533273">
              <w:rPr>
                <w:rFonts w:ascii="Calibri" w:eastAsia="Times New Roman" w:hAnsi="Calibri" w:cs="Calibri"/>
                <w:color w:val="000000"/>
                <w:kern w:val="0"/>
                <w:lang w:eastAsia="tr-TR"/>
                <w14:ligatures w14:val="none"/>
              </w:rPr>
              <w:t>11</w:t>
            </w:r>
            <w:r>
              <w:rPr>
                <w:rFonts w:ascii="Calibri" w:eastAsia="Times New Roman" w:hAnsi="Calibri" w:cs="Calibri"/>
                <w:color w:val="000000"/>
                <w:kern w:val="0"/>
                <w:lang w:eastAsia="tr-TR"/>
                <w14:ligatures w14:val="none"/>
              </w:rPr>
              <w:t>.</w:t>
            </w:r>
            <w:r w:rsidRPr="00533273">
              <w:rPr>
                <w:rFonts w:ascii="Calibri" w:eastAsia="Times New Roman" w:hAnsi="Calibri" w:cs="Calibri"/>
                <w:color w:val="000000"/>
                <w:kern w:val="0"/>
                <w:lang w:eastAsia="tr-TR"/>
                <w14:ligatures w14:val="none"/>
              </w:rPr>
              <w:t>500</w:t>
            </w:r>
          </w:p>
        </w:tc>
        <w:tc>
          <w:tcPr>
            <w:tcW w:w="1306" w:type="dxa"/>
            <w:noWrap/>
            <w:hideMark/>
          </w:tcPr>
          <w:p w14:paraId="1D83ED98" w14:textId="3649E2AE" w:rsidR="00533273" w:rsidRPr="00533273" w:rsidRDefault="00533273" w:rsidP="00DE3C94">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tr-TR"/>
                <w14:ligatures w14:val="none"/>
              </w:rPr>
            </w:pPr>
            <w:r w:rsidRPr="00533273">
              <w:rPr>
                <w:rFonts w:ascii="Calibri" w:eastAsia="Times New Roman" w:hAnsi="Calibri" w:cs="Calibri"/>
                <w:color w:val="000000"/>
                <w:kern w:val="0"/>
                <w:lang w:eastAsia="tr-TR"/>
                <w14:ligatures w14:val="none"/>
              </w:rPr>
              <w:t>27</w:t>
            </w:r>
            <w:r>
              <w:rPr>
                <w:rFonts w:ascii="Calibri" w:eastAsia="Times New Roman" w:hAnsi="Calibri" w:cs="Calibri"/>
                <w:color w:val="000000"/>
                <w:kern w:val="0"/>
                <w:lang w:eastAsia="tr-TR"/>
                <w14:ligatures w14:val="none"/>
              </w:rPr>
              <w:t>.</w:t>
            </w:r>
            <w:r w:rsidRPr="00533273">
              <w:rPr>
                <w:rFonts w:ascii="Calibri" w:eastAsia="Times New Roman" w:hAnsi="Calibri" w:cs="Calibri"/>
                <w:color w:val="000000"/>
                <w:kern w:val="0"/>
                <w:lang w:eastAsia="tr-TR"/>
                <w14:ligatures w14:val="none"/>
              </w:rPr>
              <w:t>900</w:t>
            </w:r>
          </w:p>
        </w:tc>
        <w:tc>
          <w:tcPr>
            <w:tcW w:w="1851" w:type="dxa"/>
            <w:noWrap/>
            <w:hideMark/>
          </w:tcPr>
          <w:p w14:paraId="693EA8AC" w14:textId="77777777" w:rsidR="00533273" w:rsidRPr="00533273" w:rsidRDefault="00533273" w:rsidP="00DE3C94">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0000"/>
                <w:kern w:val="0"/>
                <w:lang w:eastAsia="tr-TR"/>
                <w14:ligatures w14:val="none"/>
              </w:rPr>
            </w:pPr>
            <w:r w:rsidRPr="00533273">
              <w:rPr>
                <w:rFonts w:ascii="Calibri" w:eastAsia="Times New Roman" w:hAnsi="Calibri" w:cs="Calibri"/>
                <w:b/>
                <w:bCs/>
                <w:color w:val="FF0000"/>
                <w:kern w:val="0"/>
                <w:lang w:eastAsia="tr-TR"/>
                <w14:ligatures w14:val="none"/>
              </w:rPr>
              <w:t>142,6</w:t>
            </w:r>
          </w:p>
        </w:tc>
      </w:tr>
      <w:tr w:rsidR="00533273" w:rsidRPr="00533273" w14:paraId="7D1F1FD2" w14:textId="77777777" w:rsidTr="00DE3C94">
        <w:trPr>
          <w:trHeight w:val="263"/>
        </w:trPr>
        <w:tc>
          <w:tcPr>
            <w:cnfStyle w:val="001000000000" w:firstRow="0" w:lastRow="0" w:firstColumn="1" w:lastColumn="0" w:oddVBand="0" w:evenVBand="0" w:oddHBand="0" w:evenHBand="0" w:firstRowFirstColumn="0" w:firstRowLastColumn="0" w:lastRowFirstColumn="0" w:lastRowLastColumn="0"/>
            <w:tcW w:w="4383" w:type="dxa"/>
            <w:noWrap/>
            <w:hideMark/>
          </w:tcPr>
          <w:p w14:paraId="73D2BF04" w14:textId="77777777" w:rsidR="00533273" w:rsidRPr="00533273" w:rsidRDefault="00533273" w:rsidP="00DE3C94">
            <w:pPr>
              <w:spacing w:line="480" w:lineRule="auto"/>
              <w:jc w:val="center"/>
              <w:rPr>
                <w:rFonts w:ascii="Calibri" w:eastAsia="Times New Roman" w:hAnsi="Calibri" w:cs="Calibri"/>
                <w:color w:val="000000"/>
                <w:kern w:val="0"/>
                <w:lang w:eastAsia="tr-TR"/>
                <w14:ligatures w14:val="none"/>
              </w:rPr>
            </w:pPr>
            <w:r w:rsidRPr="00533273">
              <w:rPr>
                <w:rFonts w:ascii="Calibri" w:eastAsia="Times New Roman" w:hAnsi="Calibri" w:cs="Calibri"/>
                <w:color w:val="000000"/>
                <w:kern w:val="0"/>
                <w:lang w:eastAsia="tr-TR"/>
                <w14:ligatures w14:val="none"/>
              </w:rPr>
              <w:t xml:space="preserve">Mesleki ve Teknik Eğitim Kurumları </w:t>
            </w:r>
          </w:p>
        </w:tc>
        <w:tc>
          <w:tcPr>
            <w:tcW w:w="1306" w:type="dxa"/>
            <w:noWrap/>
            <w:hideMark/>
          </w:tcPr>
          <w:p w14:paraId="76F6E6D9" w14:textId="04AEF0F7" w:rsidR="00533273" w:rsidRPr="00533273" w:rsidRDefault="00533273" w:rsidP="00DE3C94">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tr-TR"/>
                <w14:ligatures w14:val="none"/>
              </w:rPr>
            </w:pPr>
            <w:r w:rsidRPr="00533273">
              <w:rPr>
                <w:rFonts w:ascii="Calibri" w:eastAsia="Times New Roman" w:hAnsi="Calibri" w:cs="Calibri"/>
                <w:color w:val="000000"/>
                <w:kern w:val="0"/>
                <w:lang w:eastAsia="tr-TR"/>
                <w14:ligatures w14:val="none"/>
              </w:rPr>
              <w:t>12</w:t>
            </w:r>
            <w:r>
              <w:rPr>
                <w:rFonts w:ascii="Calibri" w:eastAsia="Times New Roman" w:hAnsi="Calibri" w:cs="Calibri"/>
                <w:color w:val="000000"/>
                <w:kern w:val="0"/>
                <w:lang w:eastAsia="tr-TR"/>
                <w14:ligatures w14:val="none"/>
              </w:rPr>
              <w:t>.</w:t>
            </w:r>
            <w:r w:rsidRPr="00533273">
              <w:rPr>
                <w:rFonts w:ascii="Calibri" w:eastAsia="Times New Roman" w:hAnsi="Calibri" w:cs="Calibri"/>
                <w:color w:val="000000"/>
                <w:kern w:val="0"/>
                <w:lang w:eastAsia="tr-TR"/>
                <w14:ligatures w14:val="none"/>
              </w:rPr>
              <w:t>900</w:t>
            </w:r>
          </w:p>
        </w:tc>
        <w:tc>
          <w:tcPr>
            <w:tcW w:w="1306" w:type="dxa"/>
            <w:noWrap/>
            <w:hideMark/>
          </w:tcPr>
          <w:p w14:paraId="79031055" w14:textId="4B89FD89" w:rsidR="00533273" w:rsidRPr="00533273" w:rsidRDefault="00533273" w:rsidP="00DE3C94">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tr-TR"/>
                <w14:ligatures w14:val="none"/>
              </w:rPr>
            </w:pPr>
            <w:r w:rsidRPr="00533273">
              <w:rPr>
                <w:rFonts w:ascii="Calibri" w:eastAsia="Times New Roman" w:hAnsi="Calibri" w:cs="Calibri"/>
                <w:color w:val="000000"/>
                <w:kern w:val="0"/>
                <w:lang w:eastAsia="tr-TR"/>
                <w14:ligatures w14:val="none"/>
              </w:rPr>
              <w:t>31</w:t>
            </w:r>
            <w:r>
              <w:rPr>
                <w:rFonts w:ascii="Calibri" w:eastAsia="Times New Roman" w:hAnsi="Calibri" w:cs="Calibri"/>
                <w:color w:val="000000"/>
                <w:kern w:val="0"/>
                <w:lang w:eastAsia="tr-TR"/>
                <w14:ligatures w14:val="none"/>
              </w:rPr>
              <w:t>.</w:t>
            </w:r>
            <w:r w:rsidRPr="00533273">
              <w:rPr>
                <w:rFonts w:ascii="Calibri" w:eastAsia="Times New Roman" w:hAnsi="Calibri" w:cs="Calibri"/>
                <w:color w:val="000000"/>
                <w:kern w:val="0"/>
                <w:lang w:eastAsia="tr-TR"/>
                <w14:ligatures w14:val="none"/>
              </w:rPr>
              <w:t>300</w:t>
            </w:r>
          </w:p>
        </w:tc>
        <w:tc>
          <w:tcPr>
            <w:tcW w:w="1851" w:type="dxa"/>
            <w:noWrap/>
            <w:hideMark/>
          </w:tcPr>
          <w:p w14:paraId="059696AD" w14:textId="77777777" w:rsidR="00533273" w:rsidRPr="00533273" w:rsidRDefault="00533273" w:rsidP="00DE3C94">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0000"/>
                <w:kern w:val="0"/>
                <w:lang w:eastAsia="tr-TR"/>
                <w14:ligatures w14:val="none"/>
              </w:rPr>
            </w:pPr>
            <w:r w:rsidRPr="00533273">
              <w:rPr>
                <w:rFonts w:ascii="Calibri" w:eastAsia="Times New Roman" w:hAnsi="Calibri" w:cs="Calibri"/>
                <w:b/>
                <w:bCs/>
                <w:color w:val="FF0000"/>
                <w:kern w:val="0"/>
                <w:lang w:eastAsia="tr-TR"/>
                <w14:ligatures w14:val="none"/>
              </w:rPr>
              <w:t>142,63</w:t>
            </w:r>
          </w:p>
        </w:tc>
      </w:tr>
    </w:tbl>
    <w:p w14:paraId="702134B7" w14:textId="5C2CFF96" w:rsidR="00533273" w:rsidRDefault="00533273" w:rsidP="00DE3C94">
      <w:pPr>
        <w:spacing w:line="360" w:lineRule="auto"/>
        <w:jc w:val="both"/>
      </w:pPr>
      <w:r>
        <w:rPr>
          <w:b/>
          <w:bCs/>
        </w:rPr>
        <w:t xml:space="preserve">Kaynak: </w:t>
      </w:r>
      <w:r w:rsidRPr="00533273">
        <w:t>2023 ve 2024 yıllarına</w:t>
      </w:r>
      <w:r>
        <w:t xml:space="preserve"> </w:t>
      </w:r>
      <w:r w:rsidRPr="00533273">
        <w:t xml:space="preserve">ait Merkezi Yönetim Bütçe Kanununda belirtilen verilerle oluşturulmuştur. </w:t>
      </w:r>
    </w:p>
    <w:p w14:paraId="40A4C857" w14:textId="54F57110" w:rsidR="00533273" w:rsidRPr="00472196" w:rsidRDefault="00533273" w:rsidP="00472196">
      <w:pPr>
        <w:spacing w:line="360" w:lineRule="auto"/>
        <w:jc w:val="both"/>
      </w:pPr>
      <w:r>
        <w:t xml:space="preserve">2023 yılına göre 2024 yılı bütçesinde belirlenen yeni pansiyon ücretlerinde </w:t>
      </w:r>
      <w:proofErr w:type="gramStart"/>
      <w:r w:rsidRPr="00533273">
        <w:rPr>
          <w:b/>
          <w:bCs/>
        </w:rPr>
        <w:t>%142</w:t>
      </w:r>
      <w:proofErr w:type="gramEnd"/>
      <w:r w:rsidRPr="00533273">
        <w:rPr>
          <w:b/>
          <w:bCs/>
        </w:rPr>
        <w:t>’lik</w:t>
      </w:r>
      <w:r>
        <w:t xml:space="preserve"> bir artış yaşandığı görülmektedir. </w:t>
      </w:r>
    </w:p>
    <w:p w14:paraId="33CA82DF" w14:textId="787F0B70" w:rsidR="005E39C2" w:rsidRPr="00533273" w:rsidRDefault="005E39C2" w:rsidP="00472196">
      <w:pPr>
        <w:rPr>
          <w:b/>
          <w:bCs/>
        </w:rPr>
      </w:pPr>
      <w:r>
        <w:rPr>
          <w:noProof/>
        </w:rPr>
        <w:drawing>
          <wp:inline distT="0" distB="0" distL="0" distR="0" wp14:anchorId="3CE6C5B8" wp14:editId="5B58A101">
            <wp:extent cx="5562600" cy="2575560"/>
            <wp:effectExtent l="0" t="0" r="0" b="15240"/>
            <wp:docPr id="652839505" name="Grafik 1">
              <a:extLst xmlns:a="http://schemas.openxmlformats.org/drawingml/2006/main">
                <a:ext uri="{FF2B5EF4-FFF2-40B4-BE49-F238E27FC236}">
                  <a16:creationId xmlns:a16="http://schemas.microsoft.com/office/drawing/2014/main" id="{0AEB0DB4-9515-FE65-FF32-902D6A7BED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84655DB" w14:textId="77777777" w:rsidR="004B3C44" w:rsidRDefault="005E39C2" w:rsidP="00DE3C94">
      <w:pPr>
        <w:spacing w:line="360" w:lineRule="auto"/>
        <w:jc w:val="both"/>
      </w:pPr>
      <w:r w:rsidRPr="005E39C2">
        <w:t xml:space="preserve">Pansiyonda konaklama ücreti gibi öğretmen ve öğrenciler için bir öğün yemek ücreti de </w:t>
      </w:r>
      <w:proofErr w:type="gramStart"/>
      <w:r w:rsidRPr="00C2217E">
        <w:rPr>
          <w:b/>
          <w:bCs/>
        </w:rPr>
        <w:t>%142</w:t>
      </w:r>
      <w:proofErr w:type="gramEnd"/>
      <w:r w:rsidRPr="005E39C2">
        <w:t xml:space="preserve"> oranında artış göstermiştir. </w:t>
      </w:r>
      <w:r>
        <w:t xml:space="preserve"> </w:t>
      </w:r>
    </w:p>
    <w:p w14:paraId="4413260A" w14:textId="469B7E30" w:rsidR="00DE3C94" w:rsidRDefault="005E39C2" w:rsidP="00472196">
      <w:pPr>
        <w:spacing w:line="360" w:lineRule="auto"/>
        <w:jc w:val="both"/>
      </w:pPr>
      <w:r>
        <w:t xml:space="preserve">Öğrenciler için ciddi artışlarla belirlenen konaklama ve yemek </w:t>
      </w:r>
      <w:r w:rsidR="004B3C44">
        <w:t>ücretlerine</w:t>
      </w:r>
      <w:r>
        <w:t xml:space="preserve"> karşın en iyi ihtimall</w:t>
      </w:r>
      <w:r w:rsidR="004B3C44">
        <w:t>e</w:t>
      </w:r>
      <w:r>
        <w:t xml:space="preserve"> altı aylık enflasyon tahminiyle birlikte net 11.402 TL olan asgari ücretin 15.708 TL olması beklenmektedir. Bu beklenti </w:t>
      </w:r>
      <w:proofErr w:type="gramStart"/>
      <w:r w:rsidRPr="00DE3C94">
        <w:rPr>
          <w:b/>
          <w:bCs/>
        </w:rPr>
        <w:t>% 3</w:t>
      </w:r>
      <w:r w:rsidR="00DE3C94" w:rsidRPr="00DE3C94">
        <w:rPr>
          <w:b/>
          <w:bCs/>
        </w:rPr>
        <w:t>7</w:t>
      </w:r>
      <w:r w:rsidRPr="00DE3C94">
        <w:rPr>
          <w:b/>
          <w:bCs/>
        </w:rPr>
        <w:t>,7</w:t>
      </w:r>
      <w:proofErr w:type="gramEnd"/>
      <w:r w:rsidR="004B3C44" w:rsidRPr="00DE3C94">
        <w:rPr>
          <w:b/>
          <w:bCs/>
        </w:rPr>
        <w:t>’</w:t>
      </w:r>
      <w:r w:rsidRPr="00DE3C94">
        <w:rPr>
          <w:b/>
          <w:bCs/>
        </w:rPr>
        <w:t>lik</w:t>
      </w:r>
      <w:r>
        <w:t xml:space="preserve"> bir artışı ifade etmektedir.</w:t>
      </w:r>
    </w:p>
    <w:p w14:paraId="0342C05F" w14:textId="77777777" w:rsidR="00DE3C94" w:rsidRDefault="00DE3C94" w:rsidP="005E39C2">
      <w:pPr>
        <w:jc w:val="both"/>
      </w:pPr>
    </w:p>
    <w:p w14:paraId="286A1690" w14:textId="6F3A25A7" w:rsidR="00DE3C94" w:rsidRPr="00472196" w:rsidRDefault="00472196" w:rsidP="00472196">
      <w:pPr>
        <w:spacing w:line="360" w:lineRule="auto"/>
        <w:jc w:val="both"/>
      </w:pPr>
      <w:r>
        <w:rPr>
          <w:b/>
          <w:bCs/>
        </w:rPr>
        <w:lastRenderedPageBreak/>
        <w:t xml:space="preserve">Tablo 2. </w:t>
      </w:r>
      <w:r w:rsidRPr="00472196">
        <w:t>2023 (Temmuz-Aralık) Net Asgari Ücret ve Memur Maaşı ile 2024 Yılı İçin Tahmin Edilen Asgari Ücret ve Memur Maaş Zammı Arasındaki Artış</w:t>
      </w:r>
    </w:p>
    <w:tbl>
      <w:tblPr>
        <w:tblStyle w:val="KlavuzTablo6Renkli-Vurgu6"/>
        <w:tblW w:w="9170" w:type="dxa"/>
        <w:tblLook w:val="04A0" w:firstRow="1" w:lastRow="0" w:firstColumn="1" w:lastColumn="0" w:noHBand="0" w:noVBand="1"/>
      </w:tblPr>
      <w:tblGrid>
        <w:gridCol w:w="4344"/>
        <w:gridCol w:w="1240"/>
        <w:gridCol w:w="1294"/>
        <w:gridCol w:w="2292"/>
      </w:tblGrid>
      <w:tr w:rsidR="00DE3C94" w:rsidRPr="00C2217E" w14:paraId="0A501090" w14:textId="77777777" w:rsidTr="00DE3C94">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4344" w:type="dxa"/>
            <w:noWrap/>
            <w:hideMark/>
          </w:tcPr>
          <w:p w14:paraId="04A863E5" w14:textId="77777777" w:rsidR="00C2217E" w:rsidRPr="00C2217E" w:rsidRDefault="00C2217E" w:rsidP="00DE3C94">
            <w:pPr>
              <w:spacing w:after="0" w:line="480" w:lineRule="auto"/>
              <w:jc w:val="center"/>
              <w:rPr>
                <w:rFonts w:ascii="Calibri" w:eastAsia="Times New Roman" w:hAnsi="Calibri" w:cs="Calibri"/>
                <w:b/>
                <w:bCs/>
                <w:color w:val="000000"/>
                <w:kern w:val="0"/>
                <w:sz w:val="20"/>
                <w:szCs w:val="20"/>
                <w:lang w:eastAsia="tr-TR"/>
                <w14:ligatures w14:val="none"/>
              </w:rPr>
            </w:pPr>
            <w:r w:rsidRPr="00C2217E">
              <w:rPr>
                <w:rFonts w:ascii="Calibri" w:eastAsia="Times New Roman" w:hAnsi="Calibri" w:cs="Calibri"/>
                <w:b/>
                <w:bCs/>
                <w:color w:val="000000"/>
                <w:kern w:val="0"/>
                <w:sz w:val="20"/>
                <w:szCs w:val="20"/>
                <w:lang w:eastAsia="tr-TR"/>
                <w14:ligatures w14:val="none"/>
              </w:rPr>
              <w:t>ÜCRETLER</w:t>
            </w:r>
          </w:p>
        </w:tc>
        <w:tc>
          <w:tcPr>
            <w:tcW w:w="1240" w:type="dxa"/>
            <w:noWrap/>
            <w:hideMark/>
          </w:tcPr>
          <w:p w14:paraId="4B0CF6B9" w14:textId="77777777" w:rsidR="00C2217E" w:rsidRPr="00C2217E" w:rsidRDefault="00C2217E" w:rsidP="00DE3C94">
            <w:pPr>
              <w:spacing w:line="48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tr-TR"/>
                <w14:ligatures w14:val="none"/>
              </w:rPr>
            </w:pPr>
            <w:r w:rsidRPr="00C2217E">
              <w:rPr>
                <w:rFonts w:ascii="Calibri" w:eastAsia="Times New Roman" w:hAnsi="Calibri" w:cs="Calibri"/>
                <w:color w:val="000000"/>
                <w:kern w:val="0"/>
                <w:sz w:val="20"/>
                <w:szCs w:val="20"/>
                <w:lang w:eastAsia="tr-TR"/>
                <w14:ligatures w14:val="none"/>
              </w:rPr>
              <w:t>2023 (TL)</w:t>
            </w:r>
          </w:p>
        </w:tc>
        <w:tc>
          <w:tcPr>
            <w:tcW w:w="1294" w:type="dxa"/>
            <w:noWrap/>
            <w:hideMark/>
          </w:tcPr>
          <w:p w14:paraId="4B61E954" w14:textId="77777777" w:rsidR="00C2217E" w:rsidRPr="00C2217E" w:rsidRDefault="00C2217E" w:rsidP="00DE3C94">
            <w:pPr>
              <w:spacing w:line="48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tr-TR"/>
                <w14:ligatures w14:val="none"/>
              </w:rPr>
            </w:pPr>
            <w:r w:rsidRPr="00C2217E">
              <w:rPr>
                <w:rFonts w:ascii="Calibri" w:eastAsia="Times New Roman" w:hAnsi="Calibri" w:cs="Calibri"/>
                <w:color w:val="000000"/>
                <w:kern w:val="0"/>
                <w:sz w:val="20"/>
                <w:szCs w:val="20"/>
                <w:lang w:eastAsia="tr-TR"/>
                <w14:ligatures w14:val="none"/>
              </w:rPr>
              <w:t>2024(TL)</w:t>
            </w:r>
          </w:p>
        </w:tc>
        <w:tc>
          <w:tcPr>
            <w:tcW w:w="2292" w:type="dxa"/>
            <w:noWrap/>
            <w:hideMark/>
          </w:tcPr>
          <w:p w14:paraId="0641185B" w14:textId="77777777" w:rsidR="00C2217E" w:rsidRPr="00C2217E" w:rsidRDefault="00C2217E" w:rsidP="00DE3C94">
            <w:pPr>
              <w:spacing w:line="48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tr-TR"/>
                <w14:ligatures w14:val="none"/>
              </w:rPr>
            </w:pPr>
            <w:r w:rsidRPr="00C2217E">
              <w:rPr>
                <w:rFonts w:ascii="Calibri" w:eastAsia="Times New Roman" w:hAnsi="Calibri" w:cs="Calibri"/>
                <w:color w:val="000000"/>
                <w:kern w:val="0"/>
                <w:sz w:val="20"/>
                <w:szCs w:val="20"/>
                <w:lang w:eastAsia="tr-TR"/>
                <w14:ligatures w14:val="none"/>
              </w:rPr>
              <w:t xml:space="preserve">ARTIŞ ORANI (%) </w:t>
            </w:r>
          </w:p>
        </w:tc>
      </w:tr>
      <w:tr w:rsidR="00DE3C94" w:rsidRPr="00C2217E" w14:paraId="010D1451" w14:textId="77777777" w:rsidTr="00DE3C94">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4344" w:type="dxa"/>
            <w:noWrap/>
            <w:hideMark/>
          </w:tcPr>
          <w:p w14:paraId="3C980BF3" w14:textId="690D6B25" w:rsidR="00C2217E" w:rsidRPr="00C2217E" w:rsidRDefault="00C2217E" w:rsidP="00DE3C94">
            <w:pPr>
              <w:spacing w:line="480" w:lineRule="auto"/>
              <w:jc w:val="center"/>
              <w:rPr>
                <w:rFonts w:ascii="Calibri" w:eastAsia="Times New Roman" w:hAnsi="Calibri" w:cs="Calibri"/>
                <w:color w:val="000000"/>
                <w:kern w:val="0"/>
                <w:lang w:eastAsia="tr-TR"/>
                <w14:ligatures w14:val="none"/>
              </w:rPr>
            </w:pPr>
            <w:r w:rsidRPr="00C2217E">
              <w:rPr>
                <w:rFonts w:ascii="Calibri" w:eastAsia="Times New Roman" w:hAnsi="Calibri" w:cs="Calibri"/>
                <w:color w:val="000000"/>
                <w:kern w:val="0"/>
                <w:lang w:eastAsia="tr-TR"/>
                <w14:ligatures w14:val="none"/>
              </w:rPr>
              <w:t>Asg</w:t>
            </w:r>
            <w:r>
              <w:rPr>
                <w:rFonts w:ascii="Calibri" w:eastAsia="Times New Roman" w:hAnsi="Calibri" w:cs="Calibri"/>
                <w:b w:val="0"/>
                <w:bCs w:val="0"/>
                <w:color w:val="000000"/>
                <w:kern w:val="0"/>
                <w:lang w:eastAsia="tr-TR"/>
                <w14:ligatures w14:val="none"/>
              </w:rPr>
              <w:t>a</w:t>
            </w:r>
            <w:r w:rsidRPr="00C2217E">
              <w:rPr>
                <w:rFonts w:ascii="Calibri" w:eastAsia="Times New Roman" w:hAnsi="Calibri" w:cs="Calibri"/>
                <w:color w:val="000000"/>
                <w:kern w:val="0"/>
                <w:lang w:eastAsia="tr-TR"/>
                <w14:ligatures w14:val="none"/>
              </w:rPr>
              <w:t>ri ücret (NET)</w:t>
            </w:r>
          </w:p>
        </w:tc>
        <w:tc>
          <w:tcPr>
            <w:tcW w:w="1240" w:type="dxa"/>
            <w:noWrap/>
            <w:hideMark/>
          </w:tcPr>
          <w:p w14:paraId="300F467D" w14:textId="77777777" w:rsidR="00C2217E" w:rsidRPr="00C2217E" w:rsidRDefault="00C2217E" w:rsidP="00DE3C94">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tr-TR"/>
                <w14:ligatures w14:val="none"/>
              </w:rPr>
            </w:pPr>
            <w:r w:rsidRPr="00C2217E">
              <w:rPr>
                <w:rFonts w:ascii="Calibri" w:eastAsia="Times New Roman" w:hAnsi="Calibri" w:cs="Calibri"/>
                <w:color w:val="000000"/>
                <w:kern w:val="0"/>
                <w:lang w:eastAsia="tr-TR"/>
                <w14:ligatures w14:val="none"/>
              </w:rPr>
              <w:t>11.402</w:t>
            </w:r>
          </w:p>
        </w:tc>
        <w:tc>
          <w:tcPr>
            <w:tcW w:w="1294" w:type="dxa"/>
            <w:noWrap/>
            <w:hideMark/>
          </w:tcPr>
          <w:p w14:paraId="551001C0" w14:textId="77777777" w:rsidR="00C2217E" w:rsidRPr="00C2217E" w:rsidRDefault="00C2217E" w:rsidP="00DE3C94">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tr-TR"/>
                <w14:ligatures w14:val="none"/>
              </w:rPr>
            </w:pPr>
            <w:r w:rsidRPr="00C2217E">
              <w:rPr>
                <w:rFonts w:ascii="Calibri" w:eastAsia="Times New Roman" w:hAnsi="Calibri" w:cs="Calibri"/>
                <w:color w:val="000000"/>
                <w:kern w:val="0"/>
                <w:lang w:eastAsia="tr-TR"/>
                <w14:ligatures w14:val="none"/>
              </w:rPr>
              <w:t>15.708</w:t>
            </w:r>
          </w:p>
        </w:tc>
        <w:tc>
          <w:tcPr>
            <w:tcW w:w="2292" w:type="dxa"/>
            <w:noWrap/>
            <w:hideMark/>
          </w:tcPr>
          <w:p w14:paraId="62200282" w14:textId="77777777" w:rsidR="00C2217E" w:rsidRPr="00C2217E" w:rsidRDefault="00C2217E" w:rsidP="00DE3C94">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0000"/>
                <w:kern w:val="0"/>
                <w:lang w:eastAsia="tr-TR"/>
                <w14:ligatures w14:val="none"/>
              </w:rPr>
            </w:pPr>
            <w:r w:rsidRPr="00C2217E">
              <w:rPr>
                <w:rFonts w:ascii="Calibri" w:eastAsia="Times New Roman" w:hAnsi="Calibri" w:cs="Calibri"/>
                <w:b/>
                <w:bCs/>
                <w:color w:val="FF0000"/>
                <w:kern w:val="0"/>
                <w:lang w:eastAsia="tr-TR"/>
                <w14:ligatures w14:val="none"/>
              </w:rPr>
              <w:t>37,7</w:t>
            </w:r>
          </w:p>
        </w:tc>
      </w:tr>
      <w:tr w:rsidR="00C2217E" w:rsidRPr="00C2217E" w14:paraId="0CA9CC40" w14:textId="77777777" w:rsidTr="00DE3C94">
        <w:trPr>
          <w:trHeight w:val="476"/>
        </w:trPr>
        <w:tc>
          <w:tcPr>
            <w:cnfStyle w:val="001000000000" w:firstRow="0" w:lastRow="0" w:firstColumn="1" w:lastColumn="0" w:oddVBand="0" w:evenVBand="0" w:oddHBand="0" w:evenHBand="0" w:firstRowFirstColumn="0" w:firstRowLastColumn="0" w:lastRowFirstColumn="0" w:lastRowLastColumn="0"/>
            <w:tcW w:w="4344" w:type="dxa"/>
            <w:noWrap/>
            <w:hideMark/>
          </w:tcPr>
          <w:p w14:paraId="6DD107CB" w14:textId="77777777" w:rsidR="00C2217E" w:rsidRPr="00C2217E" w:rsidRDefault="00C2217E" w:rsidP="00DE3C94">
            <w:pPr>
              <w:spacing w:line="480" w:lineRule="auto"/>
              <w:jc w:val="center"/>
              <w:rPr>
                <w:rFonts w:ascii="Calibri" w:eastAsia="Times New Roman" w:hAnsi="Calibri" w:cs="Calibri"/>
                <w:color w:val="000000"/>
                <w:kern w:val="0"/>
                <w:lang w:eastAsia="tr-TR"/>
                <w14:ligatures w14:val="none"/>
              </w:rPr>
            </w:pPr>
            <w:r w:rsidRPr="00C2217E">
              <w:rPr>
                <w:rFonts w:ascii="Calibri" w:eastAsia="Times New Roman" w:hAnsi="Calibri" w:cs="Calibri"/>
                <w:color w:val="000000"/>
                <w:kern w:val="0"/>
                <w:lang w:eastAsia="tr-TR"/>
                <w14:ligatures w14:val="none"/>
              </w:rPr>
              <w:t xml:space="preserve">En düşük memur maaşı (NET) </w:t>
            </w:r>
          </w:p>
        </w:tc>
        <w:tc>
          <w:tcPr>
            <w:tcW w:w="1240" w:type="dxa"/>
            <w:noWrap/>
            <w:hideMark/>
          </w:tcPr>
          <w:p w14:paraId="0724E293" w14:textId="77777777" w:rsidR="00C2217E" w:rsidRPr="00C2217E" w:rsidRDefault="00C2217E" w:rsidP="00DE3C94">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tr-TR"/>
                <w14:ligatures w14:val="none"/>
              </w:rPr>
            </w:pPr>
            <w:r w:rsidRPr="00C2217E">
              <w:rPr>
                <w:rFonts w:ascii="Calibri" w:eastAsia="Times New Roman" w:hAnsi="Calibri" w:cs="Calibri"/>
                <w:color w:val="000000"/>
                <w:kern w:val="0"/>
                <w:lang w:eastAsia="tr-TR"/>
                <w14:ligatures w14:val="none"/>
              </w:rPr>
              <w:t>22.017</w:t>
            </w:r>
          </w:p>
        </w:tc>
        <w:tc>
          <w:tcPr>
            <w:tcW w:w="1294" w:type="dxa"/>
            <w:noWrap/>
            <w:hideMark/>
          </w:tcPr>
          <w:p w14:paraId="2D14C8BE" w14:textId="77777777" w:rsidR="00C2217E" w:rsidRPr="00C2217E" w:rsidRDefault="00C2217E" w:rsidP="00DE3C94">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tr-TR"/>
                <w14:ligatures w14:val="none"/>
              </w:rPr>
            </w:pPr>
            <w:r w:rsidRPr="00C2217E">
              <w:rPr>
                <w:rFonts w:ascii="Calibri" w:eastAsia="Times New Roman" w:hAnsi="Calibri" w:cs="Calibri"/>
                <w:color w:val="000000"/>
                <w:kern w:val="0"/>
                <w:lang w:eastAsia="tr-TR"/>
                <w14:ligatures w14:val="none"/>
              </w:rPr>
              <w:t>33.000</w:t>
            </w:r>
          </w:p>
        </w:tc>
        <w:tc>
          <w:tcPr>
            <w:tcW w:w="2292" w:type="dxa"/>
            <w:noWrap/>
            <w:hideMark/>
          </w:tcPr>
          <w:p w14:paraId="1165E25D" w14:textId="77777777" w:rsidR="00C2217E" w:rsidRPr="00C2217E" w:rsidRDefault="00C2217E" w:rsidP="00DE3C94">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0000"/>
                <w:kern w:val="0"/>
                <w:lang w:eastAsia="tr-TR"/>
                <w14:ligatures w14:val="none"/>
              </w:rPr>
            </w:pPr>
            <w:r w:rsidRPr="00C2217E">
              <w:rPr>
                <w:rFonts w:ascii="Calibri" w:eastAsia="Times New Roman" w:hAnsi="Calibri" w:cs="Calibri"/>
                <w:b/>
                <w:bCs/>
                <w:color w:val="FF0000"/>
                <w:kern w:val="0"/>
                <w:lang w:eastAsia="tr-TR"/>
                <w14:ligatures w14:val="none"/>
              </w:rPr>
              <w:t>49,88</w:t>
            </w:r>
          </w:p>
        </w:tc>
      </w:tr>
    </w:tbl>
    <w:p w14:paraId="1E0FFD5F" w14:textId="77777777" w:rsidR="00533273" w:rsidRDefault="00533273" w:rsidP="00C2217E">
      <w:pPr>
        <w:jc w:val="center"/>
      </w:pPr>
    </w:p>
    <w:p w14:paraId="66B669F8" w14:textId="49D4DE92" w:rsidR="00DE3C94" w:rsidRDefault="00DE3C94" w:rsidP="00DE3C94">
      <w:pPr>
        <w:jc w:val="both"/>
      </w:pPr>
      <w:r>
        <w:t xml:space="preserve">2023 yılına (Temmuz-Aralık) göre 2024 yılında asgari ücret artışının </w:t>
      </w:r>
      <w:proofErr w:type="gramStart"/>
      <w:r>
        <w:t>% 37,7</w:t>
      </w:r>
      <w:proofErr w:type="gramEnd"/>
      <w:r>
        <w:t xml:space="preserve">, memur maaşının ise yaklaşık %49,88 olması beklenmektedir. </w:t>
      </w:r>
    </w:p>
    <w:p w14:paraId="5F67F54E" w14:textId="77777777" w:rsidR="00DE3C94" w:rsidRDefault="00DE3C94" w:rsidP="00DE3C94">
      <w:pPr>
        <w:jc w:val="both"/>
      </w:pPr>
    </w:p>
    <w:p w14:paraId="40786750" w14:textId="3CD2F2E2" w:rsidR="00C2217E" w:rsidRDefault="00DE3C94" w:rsidP="004C705F">
      <w:pPr>
        <w:spacing w:line="360" w:lineRule="auto"/>
        <w:jc w:val="center"/>
      </w:pPr>
      <w:r>
        <w:rPr>
          <w:noProof/>
        </w:rPr>
        <w:drawing>
          <wp:inline distT="0" distB="0" distL="0" distR="0" wp14:anchorId="03BCAEAF" wp14:editId="0A06470D">
            <wp:extent cx="5730240" cy="2964180"/>
            <wp:effectExtent l="0" t="0" r="3810" b="7620"/>
            <wp:docPr id="1883803447" name="Grafik 1">
              <a:extLst xmlns:a="http://schemas.openxmlformats.org/drawingml/2006/main">
                <a:ext uri="{FF2B5EF4-FFF2-40B4-BE49-F238E27FC236}">
                  <a16:creationId xmlns:a16="http://schemas.microsoft.com/office/drawing/2014/main" id="{B5071D3C-216E-9AC3-FBA0-EEA417F492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2A78619" w14:textId="32F9A530" w:rsidR="00DE3C94" w:rsidRDefault="00DE3C94" w:rsidP="004C705F">
      <w:pPr>
        <w:spacing w:line="360" w:lineRule="auto"/>
        <w:jc w:val="both"/>
      </w:pPr>
      <w:r>
        <w:t xml:space="preserve">Otonom ihtiyaçlar içinde yer alan pansiyon ve yemek ücretlerindeki artışın 2024 yılında </w:t>
      </w:r>
      <w:proofErr w:type="gramStart"/>
      <w:r>
        <w:t>%142</w:t>
      </w:r>
      <w:proofErr w:type="gramEnd"/>
      <w:r w:rsidR="004C705F">
        <w:t xml:space="preserve">’lik bir artış ile belirlenmesine karşın asgari ücret için beklenen %37,7’lik memur maaşı için ise %49,88’lik artış Türkiye İstatistik Kurumu (TÜİK) tarafından açıklanan enflasyon oranlarının gerçeği yansıtmadığının açık göstergesidir. Öğrencilerin pansiyon ve yemek dışında da ulaşım, ders materyallerine yönelik yapacağı harcamaların etkisi de hesaba katıldığında eğitimi zorlukla devam ettirmek değil, eğitimin adeta son bulmasına kadar giden bir sürecin içinde kalınacağı açıktır. Yapılan zamlar arasındaki makasın kapatılması için görülen o ki memur ve asgari ücretlinin zam oranları en az üç katına çıkarılmalıdır. </w:t>
      </w:r>
    </w:p>
    <w:p w14:paraId="57D583FE" w14:textId="0BC29F77" w:rsidR="004C705F" w:rsidRPr="00472196" w:rsidRDefault="004C705F" w:rsidP="004C705F">
      <w:pPr>
        <w:spacing w:line="360" w:lineRule="auto"/>
        <w:jc w:val="both"/>
        <w:rPr>
          <w:b/>
          <w:bCs/>
        </w:rPr>
      </w:pPr>
      <w:r>
        <w:t>Ayrıca devlet kurumu olan TÜİK tarafından açıklanan enflasyon oranlarından tamamen bağımsız biçimde belirlenen pansiyon ve yemek zamları arasındaki paradoks çözüme muhtaçtır</w:t>
      </w:r>
      <w:r w:rsidR="00472196" w:rsidRPr="00472196">
        <w:rPr>
          <w:b/>
          <w:bCs/>
        </w:rPr>
        <w:t xml:space="preserve">. Sonuçta enflasyon oranlarını hesaplayarak asgari ücret ve maaş zammını belirleyen de devlet, Millî Eğitim Bakanlığı’na bağlı pansiyon ve yemek ücretlerini belirleyen de devlettir. </w:t>
      </w:r>
    </w:p>
    <w:sectPr w:rsidR="004C705F" w:rsidRPr="0047219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6DF8A" w14:textId="77777777" w:rsidR="00CA03BA" w:rsidRDefault="00CA03BA" w:rsidP="00472196">
      <w:pPr>
        <w:spacing w:after="0" w:line="240" w:lineRule="auto"/>
      </w:pPr>
      <w:r>
        <w:separator/>
      </w:r>
    </w:p>
  </w:endnote>
  <w:endnote w:type="continuationSeparator" w:id="0">
    <w:p w14:paraId="59F818AD" w14:textId="77777777" w:rsidR="00CA03BA" w:rsidRDefault="00CA03BA" w:rsidP="00472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868100"/>
      <w:docPartObj>
        <w:docPartGallery w:val="Page Numbers (Bottom of Page)"/>
        <w:docPartUnique/>
      </w:docPartObj>
    </w:sdtPr>
    <w:sdtContent>
      <w:p w14:paraId="19515A12" w14:textId="50E70E6F" w:rsidR="00472196" w:rsidRDefault="00472196">
        <w:pPr>
          <w:pStyle w:val="AltBilgi"/>
          <w:jc w:val="right"/>
        </w:pPr>
        <w:r>
          <w:fldChar w:fldCharType="begin"/>
        </w:r>
        <w:r>
          <w:instrText>PAGE   \* MERGEFORMAT</w:instrText>
        </w:r>
        <w:r>
          <w:fldChar w:fldCharType="separate"/>
        </w:r>
        <w:r>
          <w:t>2</w:t>
        </w:r>
        <w:r>
          <w:fldChar w:fldCharType="end"/>
        </w:r>
      </w:p>
    </w:sdtContent>
  </w:sdt>
  <w:p w14:paraId="46843B8B" w14:textId="77777777" w:rsidR="00472196" w:rsidRDefault="0047219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A0F7E" w14:textId="77777777" w:rsidR="00CA03BA" w:rsidRDefault="00CA03BA" w:rsidP="00472196">
      <w:pPr>
        <w:spacing w:after="0" w:line="240" w:lineRule="auto"/>
      </w:pPr>
      <w:r>
        <w:separator/>
      </w:r>
    </w:p>
  </w:footnote>
  <w:footnote w:type="continuationSeparator" w:id="0">
    <w:p w14:paraId="082B0134" w14:textId="77777777" w:rsidR="00CA03BA" w:rsidRDefault="00CA03BA" w:rsidP="004721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73"/>
    <w:rsid w:val="00472196"/>
    <w:rsid w:val="004B3C44"/>
    <w:rsid w:val="004C705F"/>
    <w:rsid w:val="00533273"/>
    <w:rsid w:val="005E39C2"/>
    <w:rsid w:val="00677301"/>
    <w:rsid w:val="00C2217E"/>
    <w:rsid w:val="00CA03BA"/>
    <w:rsid w:val="00D076B1"/>
    <w:rsid w:val="00DE3C94"/>
    <w:rsid w:val="00F54A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FC08D"/>
  <w15:chartTrackingRefBased/>
  <w15:docId w15:val="{2899B52B-FE9F-43F5-8126-F0B1364D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DzTablo1">
    <w:name w:val="Plain Table 1"/>
    <w:basedOn w:val="NormalTablo"/>
    <w:uiPriority w:val="41"/>
    <w:rsid w:val="005332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2-Vurgu4">
    <w:name w:val="Grid Table 2 Accent 4"/>
    <w:basedOn w:val="NormalTablo"/>
    <w:uiPriority w:val="47"/>
    <w:rsid w:val="00533273"/>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KlavuzTablo2-Vurgu3">
    <w:name w:val="Grid Table 2 Accent 3"/>
    <w:basedOn w:val="NormalTablo"/>
    <w:uiPriority w:val="47"/>
    <w:rsid w:val="00C2217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Tablo2-Vurgu6">
    <w:name w:val="Grid Table 2 Accent 6"/>
    <w:basedOn w:val="NormalTablo"/>
    <w:uiPriority w:val="47"/>
    <w:rsid w:val="00DE3C9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KlavuzTablo6Renkli-Vurgu6">
    <w:name w:val="Grid Table 6 Colorful Accent 6"/>
    <w:basedOn w:val="NormalTablo"/>
    <w:uiPriority w:val="51"/>
    <w:rsid w:val="00DE3C9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KlavuzTablo6-Renkli-Vurgu3">
    <w:name w:val="Grid Table 6 Colorful Accent 3"/>
    <w:basedOn w:val="NormalTablo"/>
    <w:uiPriority w:val="51"/>
    <w:rsid w:val="00DE3C9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tBilgi">
    <w:name w:val="header"/>
    <w:basedOn w:val="Normal"/>
    <w:link w:val="stBilgiChar"/>
    <w:uiPriority w:val="99"/>
    <w:unhideWhenUsed/>
    <w:rsid w:val="0047219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72196"/>
  </w:style>
  <w:style w:type="paragraph" w:styleId="AltBilgi">
    <w:name w:val="footer"/>
    <w:basedOn w:val="Normal"/>
    <w:link w:val="AltBilgiChar"/>
    <w:uiPriority w:val="99"/>
    <w:unhideWhenUsed/>
    <w:rsid w:val="0047219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72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055312">
      <w:bodyDiv w:val="1"/>
      <w:marLeft w:val="0"/>
      <w:marRight w:val="0"/>
      <w:marTop w:val="0"/>
      <w:marBottom w:val="0"/>
      <w:divBdr>
        <w:top w:val="none" w:sz="0" w:space="0" w:color="auto"/>
        <w:left w:val="none" w:sz="0" w:space="0" w:color="auto"/>
        <w:bottom w:val="none" w:sz="0" w:space="0" w:color="auto"/>
        <w:right w:val="none" w:sz="0" w:space="0" w:color="auto"/>
      </w:divBdr>
    </w:div>
    <w:div w:id="188247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Kitap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Kitap2"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tr-TR" sz="1100" b="1">
                <a:solidFill>
                  <a:sysClr val="windowText" lastClr="000000"/>
                </a:solidFill>
                <a:effectLst/>
              </a:rPr>
              <a:t>Öğretmen ve Öğrenci İçin Pansiyonda Bir Öğün Yemek Ücreti ve Artış Oranı</a:t>
            </a:r>
            <a:endParaRPr lang="tr-TR" sz="1100">
              <a:solidFill>
                <a:sysClr val="windowText" lastClr="000000"/>
              </a:solidFill>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tr-T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tr-TR"/>
        </a:p>
      </c:txPr>
    </c:title>
    <c:autoTitleDeleted val="0"/>
    <c:plotArea>
      <c:layout/>
      <c:barChart>
        <c:barDir val="col"/>
        <c:grouping val="clustered"/>
        <c:varyColors val="0"/>
        <c:ser>
          <c:idx val="0"/>
          <c:order val="0"/>
          <c:tx>
            <c:strRef>
              <c:f>Sayfa1!$A$11</c:f>
              <c:strCache>
                <c:ptCount val="1"/>
                <c:pt idx="0">
                  <c:v>1 ÖĞÜN YEMEK  (TL)</c:v>
                </c:pt>
              </c:strCache>
            </c:strRef>
          </c:tx>
          <c:spPr>
            <a:solidFill>
              <a:schemeClr val="accent1"/>
            </a:solidFill>
            <a:ln>
              <a:noFill/>
            </a:ln>
            <a:effectLst/>
          </c:spPr>
          <c:invertIfNegative val="0"/>
          <c:dPt>
            <c:idx val="2"/>
            <c:invertIfNegative val="0"/>
            <c:bubble3D val="0"/>
            <c:spPr>
              <a:solidFill>
                <a:srgbClr val="FF0000"/>
              </a:solidFill>
              <a:ln>
                <a:noFill/>
              </a:ln>
              <a:effectLst/>
            </c:spPr>
            <c:extLst>
              <c:ext xmlns:c16="http://schemas.microsoft.com/office/drawing/2014/chart" uri="{C3380CC4-5D6E-409C-BE32-E72D297353CC}">
                <c16:uniqueId val="{00000001-445D-4EDD-AA6F-A5D7C2DA4C0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Sayfa1!$B$10:$D$10</c:f>
              <c:strCache>
                <c:ptCount val="3"/>
                <c:pt idx="0">
                  <c:v>2023 (TL)</c:v>
                </c:pt>
                <c:pt idx="1">
                  <c:v>2024 (TL)</c:v>
                </c:pt>
                <c:pt idx="2">
                  <c:v>ARTIŞ ORANI (%)</c:v>
                </c:pt>
              </c:strCache>
            </c:strRef>
          </c:cat>
          <c:val>
            <c:numRef>
              <c:f>Sayfa1!$B$11:$D$11</c:f>
              <c:numCache>
                <c:formatCode>General</c:formatCode>
                <c:ptCount val="3"/>
                <c:pt idx="0">
                  <c:v>21.45</c:v>
                </c:pt>
                <c:pt idx="1">
                  <c:v>52</c:v>
                </c:pt>
                <c:pt idx="2">
                  <c:v>142.41999999999999</c:v>
                </c:pt>
              </c:numCache>
            </c:numRef>
          </c:val>
          <c:extLst>
            <c:ext xmlns:c16="http://schemas.microsoft.com/office/drawing/2014/chart" uri="{C3380CC4-5D6E-409C-BE32-E72D297353CC}">
              <c16:uniqueId val="{00000002-445D-4EDD-AA6F-A5D7C2DA4C07}"/>
            </c:ext>
          </c:extLst>
        </c:ser>
        <c:dLbls>
          <c:dLblPos val="outEnd"/>
          <c:showLegendKey val="0"/>
          <c:showVal val="1"/>
          <c:showCatName val="0"/>
          <c:showSerName val="0"/>
          <c:showPercent val="0"/>
          <c:showBubbleSize val="0"/>
        </c:dLbls>
        <c:gapWidth val="219"/>
        <c:overlap val="-27"/>
        <c:axId val="509485407"/>
        <c:axId val="233216639"/>
      </c:barChart>
      <c:catAx>
        <c:axId val="509485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tr-TR"/>
          </a:p>
        </c:txPr>
        <c:crossAx val="233216639"/>
        <c:crosses val="autoZero"/>
        <c:auto val="1"/>
        <c:lblAlgn val="ctr"/>
        <c:lblOffset val="100"/>
        <c:noMultiLvlLbl val="0"/>
      </c:catAx>
      <c:valAx>
        <c:axId val="233216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tr-TR"/>
          </a:p>
        </c:txPr>
        <c:crossAx val="5094854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tr-TR" sz="1000" b="1">
                <a:solidFill>
                  <a:sysClr val="windowText" lastClr="000000"/>
                </a:solidFill>
              </a:rPr>
              <a:t>2023 yılına göre 2024 yılında ücret</a:t>
            </a:r>
            <a:r>
              <a:rPr lang="tr-TR" sz="1000" b="1" baseline="0">
                <a:solidFill>
                  <a:sysClr val="windowText" lastClr="000000"/>
                </a:solidFill>
              </a:rPr>
              <a:t> ve maaşlar ile öğrencilerin pansiyon ve yemek ücretlerindeki artış oranları</a:t>
            </a:r>
            <a:endParaRPr lang="tr-TR" sz="1000" b="1">
              <a:solidFill>
                <a:sysClr val="windowText" lastClr="000000"/>
              </a:solidFill>
            </a:endParaRP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spPr>
            <a:solidFill>
              <a:schemeClr val="accent2">
                <a:lumMod val="60000"/>
                <a:lumOff val="40000"/>
              </a:schemeClr>
            </a:solidFill>
            <a:ln>
              <a:noFill/>
            </a:ln>
            <a:effectLst/>
          </c:spPr>
          <c:invertIfNegative val="0"/>
          <c:dPt>
            <c:idx val="2"/>
            <c:invertIfNegative val="0"/>
            <c:bubble3D val="0"/>
            <c:spPr>
              <a:solidFill>
                <a:schemeClr val="accent5">
                  <a:lumMod val="75000"/>
                </a:schemeClr>
              </a:solidFill>
              <a:ln>
                <a:noFill/>
              </a:ln>
              <a:effectLst/>
            </c:spPr>
            <c:extLst>
              <c:ext xmlns:c16="http://schemas.microsoft.com/office/drawing/2014/chart" uri="{C3380CC4-5D6E-409C-BE32-E72D297353CC}">
                <c16:uniqueId val="{00000001-A3B3-41C8-858B-239D2E5CF00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Sayfa1!$A$31:$A$33</c:f>
              <c:strCache>
                <c:ptCount val="3"/>
                <c:pt idx="0">
                  <c:v>Asgari ücret (NET)</c:v>
                </c:pt>
                <c:pt idx="1">
                  <c:v>En düşük memur maaşı (NET) </c:v>
                </c:pt>
                <c:pt idx="2">
                  <c:v>Öğrencilerin pansiyon ve bir öğün yemeği</c:v>
                </c:pt>
              </c:strCache>
            </c:strRef>
          </c:cat>
          <c:val>
            <c:numRef>
              <c:f>Sayfa1!$B$31:$B$33</c:f>
              <c:numCache>
                <c:formatCode>General</c:formatCode>
                <c:ptCount val="3"/>
                <c:pt idx="0">
                  <c:v>37.700000000000003</c:v>
                </c:pt>
                <c:pt idx="1">
                  <c:v>49.88</c:v>
                </c:pt>
                <c:pt idx="2">
                  <c:v>142</c:v>
                </c:pt>
              </c:numCache>
            </c:numRef>
          </c:val>
          <c:extLst>
            <c:ext xmlns:c16="http://schemas.microsoft.com/office/drawing/2014/chart" uri="{C3380CC4-5D6E-409C-BE32-E72D297353CC}">
              <c16:uniqueId val="{00000002-A3B3-41C8-858B-239D2E5CF004}"/>
            </c:ext>
          </c:extLst>
        </c:ser>
        <c:dLbls>
          <c:dLblPos val="outEnd"/>
          <c:showLegendKey val="0"/>
          <c:showVal val="1"/>
          <c:showCatName val="0"/>
          <c:showSerName val="0"/>
          <c:showPercent val="0"/>
          <c:showBubbleSize val="0"/>
        </c:dLbls>
        <c:gapWidth val="219"/>
        <c:overlap val="-27"/>
        <c:axId val="512409007"/>
        <c:axId val="2016016159"/>
      </c:barChart>
      <c:catAx>
        <c:axId val="512409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tr-TR"/>
          </a:p>
        </c:txPr>
        <c:crossAx val="2016016159"/>
        <c:crosses val="autoZero"/>
        <c:auto val="1"/>
        <c:lblAlgn val="ctr"/>
        <c:lblOffset val="100"/>
        <c:noMultiLvlLbl val="0"/>
      </c:catAx>
      <c:valAx>
        <c:axId val="20160161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124090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2023-12-26T12:03:00Z</dcterms:created>
  <dcterms:modified xsi:type="dcterms:W3CDTF">2023-12-26T12:03:00Z</dcterms:modified>
</cp:coreProperties>
</file>